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C1434" w14:textId="77777777" w:rsidR="00B41474" w:rsidRPr="00AC65CF" w:rsidRDefault="00B41474" w:rsidP="00AC65CF">
      <w:pPr>
        <w:widowControl w:val="0"/>
        <w:ind w:right="-8"/>
        <w:jc w:val="center"/>
        <w:rPr>
          <w:rFonts w:eastAsia="Times New Roman"/>
          <w:b/>
          <w:sz w:val="26"/>
          <w:szCs w:val="26"/>
          <w:lang w:val="vi-VN"/>
        </w:rPr>
      </w:pPr>
      <w:r w:rsidRPr="00310B3F">
        <w:rPr>
          <w:rFonts w:eastAsia="Times New Roman"/>
          <w:b/>
          <w:sz w:val="26"/>
          <w:szCs w:val="26"/>
          <w:lang w:val="vi-VN"/>
        </w:rPr>
        <w:t xml:space="preserve">  </w:t>
      </w:r>
      <w:r w:rsidRPr="00AC65CF">
        <w:rPr>
          <w:rFonts w:eastAsia="Times New Roman"/>
          <w:b/>
          <w:sz w:val="26"/>
          <w:szCs w:val="26"/>
          <w:lang w:val="vi-VN"/>
        </w:rPr>
        <w:t xml:space="preserve">BÁO CÁO ĐÁNH GIÁ TÁC ĐỘNG CỦA CHÍNH SÁCH </w:t>
      </w:r>
    </w:p>
    <w:p w14:paraId="7D6FE684" w14:textId="77777777" w:rsidR="00B41474" w:rsidRPr="00AC65CF" w:rsidRDefault="00B41474" w:rsidP="00AC65CF">
      <w:pPr>
        <w:jc w:val="center"/>
        <w:rPr>
          <w:rFonts w:eastAsia="Times New Roman"/>
          <w:b/>
          <w:sz w:val="26"/>
          <w:szCs w:val="26"/>
          <w:lang w:val="vi-VN"/>
        </w:rPr>
      </w:pPr>
      <w:r w:rsidRPr="00AC65CF">
        <w:rPr>
          <w:rFonts w:eastAsia="Times New Roman"/>
          <w:b/>
          <w:sz w:val="26"/>
          <w:szCs w:val="26"/>
          <w:lang w:val="vi-VN"/>
        </w:rPr>
        <w:t>Thông tư sửa đổi, bổ sung một số Điều của Bộ QCATHK lĩnh vực tàu bay và khai thác tàu bay ban hành kèm theo Thông tư 01/2011/TT-BGTVT ngày 27/01/2011</w:t>
      </w:r>
    </w:p>
    <w:p w14:paraId="06EC230A" w14:textId="77777777" w:rsidR="00B41474" w:rsidRPr="00AC65CF" w:rsidRDefault="00B41474" w:rsidP="00AC65CF">
      <w:pPr>
        <w:jc w:val="center"/>
        <w:rPr>
          <w:b/>
          <w:sz w:val="26"/>
          <w:szCs w:val="26"/>
          <w:lang w:val="vi-VN"/>
        </w:rPr>
      </w:pPr>
    </w:p>
    <w:p w14:paraId="2C08F114" w14:textId="77777777" w:rsidR="00B41474" w:rsidRPr="00310B3F" w:rsidRDefault="00B41474" w:rsidP="00B41474">
      <w:pPr>
        <w:spacing w:line="288" w:lineRule="auto"/>
        <w:ind w:firstLine="720"/>
        <w:jc w:val="both"/>
        <w:rPr>
          <w:sz w:val="28"/>
          <w:szCs w:val="28"/>
          <w:lang w:val="vi-VN"/>
        </w:rPr>
      </w:pPr>
      <w:r w:rsidRPr="00310B3F">
        <w:rPr>
          <w:sz w:val="28"/>
          <w:szCs w:val="28"/>
          <w:lang w:val="vi-VN"/>
        </w:rPr>
        <w:t>Thực hiện Luật Ban hành văn bản quy phạm pháp luật ngày 22 tháng 6 năm 2015; Luật sửa đổi, bổ sung một số điều của Luật Ban hành văn bản quy phạm pháp luật ngày 18 tháng 6 năm 2020, Cục Hàng không Việt Nam báo cáo đánh giá tác động của chính sách đối với Thông tư sửa đổi, bổ sung một số Điều của Bộ QCATHK lĩnh vực tàu bay và khai thác tàu bay ban hành kèm theo Thông tư 01/2011/TT-BGTVT ngày 27/01/2011 với các nội dung sau:</w:t>
      </w:r>
    </w:p>
    <w:p w14:paraId="6E1559D0" w14:textId="77777777" w:rsidR="00B41474" w:rsidRPr="00310B3F" w:rsidRDefault="00B41474" w:rsidP="00B41474">
      <w:pPr>
        <w:spacing w:line="288" w:lineRule="auto"/>
        <w:ind w:firstLine="720"/>
        <w:jc w:val="both"/>
        <w:rPr>
          <w:b/>
          <w:sz w:val="28"/>
          <w:szCs w:val="28"/>
          <w:lang w:val="vi-VN"/>
        </w:rPr>
      </w:pPr>
      <w:r w:rsidRPr="00310B3F">
        <w:rPr>
          <w:b/>
          <w:sz w:val="28"/>
          <w:szCs w:val="28"/>
          <w:lang w:val="vi-VN"/>
        </w:rPr>
        <w:t>I. Xác định vấn đề bất cập tổng quan</w:t>
      </w:r>
    </w:p>
    <w:p w14:paraId="442380B1" w14:textId="77777777" w:rsidR="00B41474" w:rsidRPr="00310B3F" w:rsidRDefault="00B41474" w:rsidP="00B41474">
      <w:pPr>
        <w:spacing w:line="288" w:lineRule="auto"/>
        <w:ind w:firstLine="720"/>
        <w:jc w:val="both"/>
        <w:rPr>
          <w:b/>
          <w:sz w:val="28"/>
          <w:szCs w:val="28"/>
          <w:lang w:val="vi-VN"/>
        </w:rPr>
      </w:pPr>
      <w:r w:rsidRPr="00310B3F">
        <w:rPr>
          <w:b/>
          <w:sz w:val="28"/>
          <w:szCs w:val="28"/>
          <w:lang w:val="vi-VN"/>
        </w:rPr>
        <w:t>1. Bối cảnh xây dựng chính sách</w:t>
      </w:r>
    </w:p>
    <w:p w14:paraId="210CD128" w14:textId="77777777" w:rsidR="00B41474" w:rsidRPr="00310B3F" w:rsidRDefault="00B41474" w:rsidP="00B41474">
      <w:pPr>
        <w:spacing w:line="312" w:lineRule="auto"/>
        <w:jc w:val="both"/>
        <w:rPr>
          <w:sz w:val="28"/>
          <w:szCs w:val="28"/>
          <w:lang w:val="vi-VN"/>
        </w:rPr>
      </w:pPr>
      <w:r w:rsidRPr="00310B3F">
        <w:rPr>
          <w:sz w:val="28"/>
          <w:szCs w:val="28"/>
          <w:lang w:val="vi-VN" w:eastAsia="ru-RU"/>
        </w:rPr>
        <w:tab/>
        <w:t>Hiện tại, Pháp luật về hàng không dân dụng đối với tàu bay nhập khẩu vào Việt Nam được quy định tại khoản 3 Điều 18 (Giấy chứng nhận Loại) của Luật Hàng không dân dụng Việt Nam như sau: “3. Tàu bay, động cơ tàu bay, cánh quạt tàu bay khi sản xuất tại Việt Nam hoặc nhập khẩu vào Việt Nam phải phù hợp với Giấy chứng nhận loại tương ứng do Bộ Giao thông vận tải (GTVT) cấp hoặc công nhận.”; Bộ trưởng Bộ GTVT ban hành Bộ quy chế An toàn hàng không dân dụng kèm theo Thông tư số 01/2011/TT-BGTVT ngày 12/11/2011, được sửa đổi tại Thông tư số 21/2017/TT-BGTVT ngày 30/06/2017 và Thông tư số 42/2020/TT-BGTVT ngày 31/12/2020 của Bộ trưởng Bộ GTVT (Bộ Quy chế an toàn hàng không) tại Điểm 6 khoản c Điều 3.030 quy định cho phép việc công nhận các tiêu chuẩn phê chuẩn tàu bay và công nhận Giấy chứng nhận Loại của 5 Nhà chức trách hàng không bao gồm Cục Hàng không Liên bang Mỹ (FAA), Cơ quan an toàn hàng không Châu Âu (EASA), Canada, Brazil và Liên Bang Nga. Trong danh sách này chưa có Cục Hàng không Trung Quốc và nhà chức trách hàng không Vương Quốc Anh (tách khỏi EASA từ năm 2021).</w:t>
      </w:r>
    </w:p>
    <w:p w14:paraId="03C0B09E" w14:textId="77777777" w:rsidR="00B41474" w:rsidRPr="00310B3F" w:rsidRDefault="00B41474" w:rsidP="00B41474">
      <w:pPr>
        <w:spacing w:line="312" w:lineRule="auto"/>
        <w:jc w:val="both"/>
        <w:rPr>
          <w:b/>
          <w:sz w:val="28"/>
          <w:szCs w:val="28"/>
          <w:lang w:val="vi-VN"/>
        </w:rPr>
      </w:pPr>
      <w:r w:rsidRPr="00310B3F">
        <w:rPr>
          <w:b/>
          <w:bCs/>
          <w:sz w:val="28"/>
          <w:szCs w:val="28"/>
          <w:lang w:val="vi-VN"/>
        </w:rPr>
        <w:tab/>
      </w:r>
      <w:r w:rsidRPr="00310B3F">
        <w:rPr>
          <w:b/>
          <w:sz w:val="28"/>
          <w:szCs w:val="28"/>
          <w:lang w:val="vi-VN"/>
        </w:rPr>
        <w:t>2. Mục tiêu xây dựng của chính sách</w:t>
      </w:r>
    </w:p>
    <w:p w14:paraId="12446303" w14:textId="77777777" w:rsidR="00B41474" w:rsidRPr="00310B3F" w:rsidRDefault="00B41474" w:rsidP="00B41474">
      <w:pPr>
        <w:spacing w:line="288" w:lineRule="auto"/>
        <w:ind w:firstLine="720"/>
        <w:jc w:val="both"/>
        <w:rPr>
          <w:bCs/>
          <w:sz w:val="28"/>
          <w:szCs w:val="28"/>
          <w:lang w:val="vi-VN"/>
        </w:rPr>
      </w:pPr>
      <w:r w:rsidRPr="00310B3F">
        <w:rPr>
          <w:bCs/>
          <w:sz w:val="28"/>
          <w:szCs w:val="28"/>
          <w:lang w:val="vi-VN"/>
        </w:rPr>
        <w:t>- Hoàn thiện hệ thống pháp luật đảm bảo đồng bộ, thống nhất trong hệ thống pháp luật Việt Nam từ Luật Hàng không dân dụng, đến Nghị định số 92/2016/NĐ-CP ngày 01/7/2016 của Chính phủ quy định về các ngành, nghề kinh doanh có điều kiện trong lĩnh vực hàng không dân dụng và Bộ Quy chế An toàn hàng không dân dụng ban hành kèm theo Thông tư 01/2011/TT-BGTVT ngày 27/01/20211.</w:t>
      </w:r>
    </w:p>
    <w:p w14:paraId="649713C0" w14:textId="77777777" w:rsidR="00B41474" w:rsidRPr="00310B3F" w:rsidRDefault="00B41474" w:rsidP="00B41474">
      <w:pPr>
        <w:spacing w:line="288" w:lineRule="auto"/>
        <w:ind w:firstLine="720"/>
        <w:jc w:val="both"/>
        <w:rPr>
          <w:bCs/>
          <w:sz w:val="28"/>
          <w:szCs w:val="28"/>
          <w:lang w:val="vi-VN"/>
        </w:rPr>
      </w:pPr>
      <w:r w:rsidRPr="00310B3F">
        <w:rPr>
          <w:bCs/>
          <w:sz w:val="28"/>
          <w:szCs w:val="28"/>
          <w:lang w:val="vi-VN"/>
        </w:rPr>
        <w:t>- Đảm bảo văn bản quy phạm pháp luật tạo hành lang pháp lý, phù hợp với thực tiễn phát triển ngành hàng không dân dụng để tạo điều kiện thuận lợi cho các hoạt động hàng không của Việt Nam.</w:t>
      </w:r>
    </w:p>
    <w:p w14:paraId="12DD864B" w14:textId="77777777" w:rsidR="00B41474" w:rsidRPr="00310B3F" w:rsidRDefault="00B41474" w:rsidP="00B41474">
      <w:pPr>
        <w:spacing w:line="288" w:lineRule="auto"/>
        <w:ind w:firstLine="720"/>
        <w:jc w:val="both"/>
        <w:rPr>
          <w:bCs/>
          <w:sz w:val="28"/>
          <w:szCs w:val="28"/>
          <w:lang w:val="vi-VN"/>
        </w:rPr>
      </w:pPr>
      <w:r w:rsidRPr="00310B3F">
        <w:rPr>
          <w:bCs/>
          <w:sz w:val="28"/>
          <w:szCs w:val="28"/>
          <w:lang w:val="vi-VN"/>
        </w:rPr>
        <w:lastRenderedPageBreak/>
        <w:t>- Thông qua việc sửa đổi, bổ sung Nghị định, giúp tăng cường hợp tác hữu nghị giữa Việt Nam với các đối tác truyền thống, tạo cơ hội, động lực mới cho ngành hàng không Việt Nam phát triển và là cơ sở quan trọng từng bước xây dựng và phát triển ngành hàng không Việt Nam thông qua tăng cường hợp tác, học tập và trao đổi kinh nghiệm, đặc biệt trong thiết kế, chế tạo tàu bay và các sản phẩm của tàu bay.</w:t>
      </w:r>
    </w:p>
    <w:p w14:paraId="5775A10B" w14:textId="77777777" w:rsidR="00B41474" w:rsidRPr="00310B3F" w:rsidRDefault="00B41474" w:rsidP="00B41474">
      <w:pPr>
        <w:spacing w:line="288" w:lineRule="auto"/>
        <w:ind w:firstLine="720"/>
        <w:jc w:val="both"/>
        <w:rPr>
          <w:b/>
          <w:sz w:val="28"/>
          <w:szCs w:val="28"/>
          <w:lang w:val="vi-VN"/>
        </w:rPr>
      </w:pPr>
      <w:r w:rsidRPr="00310B3F">
        <w:rPr>
          <w:b/>
          <w:sz w:val="28"/>
          <w:szCs w:val="28"/>
          <w:lang w:val="vi-VN"/>
        </w:rPr>
        <w:t xml:space="preserve">II. Đánh giá tác động của chính sách </w:t>
      </w:r>
    </w:p>
    <w:p w14:paraId="3AEA93BD" w14:textId="77777777" w:rsidR="00B41474" w:rsidRPr="00310B3F" w:rsidRDefault="00B41474" w:rsidP="00B41474">
      <w:pPr>
        <w:spacing w:line="288" w:lineRule="auto"/>
        <w:jc w:val="both"/>
        <w:rPr>
          <w:b/>
          <w:bCs/>
          <w:sz w:val="28"/>
          <w:szCs w:val="28"/>
          <w:lang w:val="vi-VN"/>
        </w:rPr>
      </w:pPr>
      <w:r w:rsidRPr="00310B3F">
        <w:rPr>
          <w:b/>
          <w:bCs/>
          <w:sz w:val="28"/>
          <w:szCs w:val="28"/>
          <w:lang w:val="vi-VN"/>
        </w:rPr>
        <w:tab/>
        <w:t>1. Xác định vấn đề bất cập:</w:t>
      </w:r>
    </w:p>
    <w:p w14:paraId="54329380" w14:textId="77777777" w:rsidR="00B41474" w:rsidRPr="00310B3F" w:rsidRDefault="00B41474" w:rsidP="00B41474">
      <w:pPr>
        <w:spacing w:line="312" w:lineRule="auto"/>
        <w:ind w:firstLine="720"/>
        <w:jc w:val="both"/>
        <w:rPr>
          <w:sz w:val="28"/>
          <w:szCs w:val="28"/>
          <w:lang w:val="vi-VN"/>
        </w:rPr>
      </w:pPr>
      <w:r w:rsidRPr="00310B3F">
        <w:rPr>
          <w:sz w:val="28"/>
          <w:szCs w:val="28"/>
          <w:lang w:val="vi-VN"/>
        </w:rPr>
        <w:t>Trong thời gian vừa qua, do ảnh hưởng của đại dịch Covid, tình hình chiến sự xảy ra trên một số khu vực trên thế giới ảnh hưởng đến dây chuyền cung cấp vật tư, khả năng cung cấp tàu bay đầy đủ từ các nhà sản xuất tàu bay truyền thống như Airbus, Boeing và Embraer (được FAA và EASA cấp Giấy chứng nhận Loại), đúng hạn và đầy đủ cũng như do ảnh hưởng của lệnh triệu hồi đối với động cơ Pratt Witney ảnh hưởng đáng kể đến hoạt động khai thác tàu bay của Việt Nam trong việc đáp ứng nhu cầu của thị trường hàng không nói riêng và nhu cầu phát triển kinh tế xã hội nói chung. Trong tình hình đó, việc giới hạn cho phép các tàu bay khai thác tại Việt Nam chỉ có Giấy chứng nhận Loại do Cục Hàng không Việt Nam cấp hoặc công nhận từ 05 quốc gia là Hoa Kỳ (FAA), Châu Âu (EASA), Liên Bang Nga, Brazil và Canada sẽ làm hạn chế cơ hội của các Hãng hàng không trong việc tiếp cận các loại tàu bay được thiết kế, chế tạo bởi các quốc gia khác có năng lực toàn cầu về khoa học và công nghệ (như Trung Quốc).</w:t>
      </w:r>
    </w:p>
    <w:p w14:paraId="3351672C" w14:textId="77777777" w:rsidR="00B41474" w:rsidRPr="00310B3F" w:rsidRDefault="00B41474" w:rsidP="00B41474">
      <w:pPr>
        <w:spacing w:line="312" w:lineRule="auto"/>
        <w:ind w:firstLine="720"/>
        <w:jc w:val="both"/>
        <w:rPr>
          <w:sz w:val="28"/>
          <w:szCs w:val="28"/>
          <w:lang w:val="vi-VN"/>
        </w:rPr>
      </w:pPr>
      <w:r w:rsidRPr="00310B3F">
        <w:rPr>
          <w:sz w:val="28"/>
          <w:szCs w:val="28"/>
          <w:lang w:val="vi-VN"/>
        </w:rPr>
        <w:t>Trung Quốc hiện nay cũng là quốc gia thiết kế tàu bay, đã sản xuất tàu bay COMAC ARJ21-700 (C909) và C919 đang khai thác tại thị trường nội địa Trung Quốc và ở 01 quốc gia nước ngoài (đối với tàu bay C909 tại Indonesia) và đã có lịch sử khai thác an toàn.</w:t>
      </w:r>
    </w:p>
    <w:p w14:paraId="54EFDC5F" w14:textId="77777777" w:rsidR="00B41474" w:rsidRPr="00310B3F" w:rsidRDefault="00B41474" w:rsidP="00B41474">
      <w:pPr>
        <w:spacing w:line="312" w:lineRule="auto"/>
        <w:ind w:firstLine="720"/>
        <w:jc w:val="both"/>
        <w:rPr>
          <w:sz w:val="28"/>
          <w:szCs w:val="28"/>
          <w:lang w:val="vi-VN"/>
        </w:rPr>
      </w:pPr>
      <w:r w:rsidRPr="00310B3F">
        <w:rPr>
          <w:sz w:val="28"/>
          <w:szCs w:val="28"/>
          <w:lang w:val="vi-VN"/>
        </w:rPr>
        <w:t>So sánh về tiêu chuẩn đủ điều kiện bay: hiện nay các tiêu chuẩn đủ điều kiện bay trong thiết kế chế tạo tàu bay trên thế giới được áp dụng theo quy định Phần 25 của Quy chế An toàn liên Bang Mỹ (FAR 25 – Federal Aviation Regulation) hoặc Tiêu chuẩn CS 25 (Certification Specification) của Cơ quan An toàn hàng không Châu Âu (EASA). Qua đánh giá, các quy định về tiêu chuẩn đủ điều kiện bay trong thiết kế, chế tạo tàu bay trong Quy chế An toàn hàng không Trung Quốc (CCAR 25 China Civil Aviation Regulations) không có sự khác biệt lớn liên quan đến thiết kế, chế tạo và đảm bảo an toàn; một số sự khác biệt chủ yếu liên quan đến ngôn ngữ tiếng trung quốc trong tài liệu, nhãn mác trên tàu bay.</w:t>
      </w:r>
    </w:p>
    <w:p w14:paraId="10E61D1A" w14:textId="77777777" w:rsidR="00B41474" w:rsidRPr="00310B3F" w:rsidRDefault="00B41474" w:rsidP="00B41474">
      <w:pPr>
        <w:spacing w:line="312" w:lineRule="auto"/>
        <w:ind w:firstLine="720"/>
        <w:jc w:val="both"/>
        <w:rPr>
          <w:b/>
          <w:bCs/>
          <w:sz w:val="28"/>
          <w:szCs w:val="28"/>
          <w:lang w:val="vi-VN"/>
        </w:rPr>
      </w:pPr>
      <w:r w:rsidRPr="00310B3F">
        <w:rPr>
          <w:b/>
          <w:bCs/>
          <w:sz w:val="28"/>
          <w:szCs w:val="28"/>
          <w:lang w:val="vi-VN"/>
        </w:rPr>
        <w:t>2. Mục tiêu chính sách:</w:t>
      </w:r>
    </w:p>
    <w:p w14:paraId="66F73A32" w14:textId="4D2567C3" w:rsidR="00B41474" w:rsidRPr="00310B3F" w:rsidRDefault="00B41474" w:rsidP="00B41474">
      <w:pPr>
        <w:spacing w:line="288" w:lineRule="auto"/>
        <w:ind w:firstLine="720"/>
        <w:jc w:val="both"/>
        <w:rPr>
          <w:sz w:val="28"/>
          <w:szCs w:val="28"/>
          <w:lang w:val="vi-VN"/>
        </w:rPr>
      </w:pPr>
      <w:r w:rsidRPr="00310B3F">
        <w:rPr>
          <w:sz w:val="28"/>
          <w:szCs w:val="28"/>
          <w:lang w:val="vi-VN"/>
        </w:rPr>
        <w:lastRenderedPageBreak/>
        <w:t>- Đảm bảo an toàn hàng không</w:t>
      </w:r>
    </w:p>
    <w:p w14:paraId="35808281" w14:textId="77777777" w:rsidR="00B41474" w:rsidRPr="00310B3F" w:rsidRDefault="00B41474" w:rsidP="00B41474">
      <w:pPr>
        <w:spacing w:line="288" w:lineRule="auto"/>
        <w:ind w:firstLine="720"/>
        <w:jc w:val="both"/>
        <w:rPr>
          <w:sz w:val="28"/>
          <w:szCs w:val="28"/>
          <w:lang w:val="vi-VN"/>
        </w:rPr>
      </w:pPr>
      <w:r w:rsidRPr="00310B3F">
        <w:rPr>
          <w:sz w:val="28"/>
          <w:szCs w:val="28"/>
          <w:lang w:val="vi-VN"/>
        </w:rPr>
        <w:t>- Đảm bảo các Hãng hàng không Việt Nam có thêm lựa chọn về việc tìm kiếm, bổ sung tàu bay vốn đang phụ thuộc vào Boeing và Riêng lĩnh vực Tiêu chuẩn Đủ điều kiện bay hoặc đối với các đường bay tầm ngắn phụ thuộc vào Embraer.</w:t>
      </w:r>
    </w:p>
    <w:p w14:paraId="1E1B6FBF" w14:textId="77777777" w:rsidR="00B41474" w:rsidRPr="00310B3F" w:rsidRDefault="00B41474" w:rsidP="00B41474">
      <w:pPr>
        <w:spacing w:line="288" w:lineRule="auto"/>
        <w:ind w:firstLine="720"/>
        <w:jc w:val="both"/>
        <w:rPr>
          <w:sz w:val="28"/>
          <w:szCs w:val="28"/>
          <w:lang w:val="vi-VN"/>
        </w:rPr>
      </w:pPr>
      <w:r w:rsidRPr="00310B3F">
        <w:rPr>
          <w:sz w:val="28"/>
          <w:szCs w:val="28"/>
          <w:lang w:val="vi-VN"/>
        </w:rPr>
        <w:t>- Tạo động lực tăng trưởng, thuận lợi cho hoạt động kinh doanh, vận chuyển, khai thác, bảo dưỡng và chuyển giao công nghệ, các lợi ích tài chính, tín dụng hoặc mở rộng thị trường cho các Hãng hàng không Việt Nam</w:t>
      </w:r>
    </w:p>
    <w:p w14:paraId="1D9AC6E9" w14:textId="77777777" w:rsidR="00B41474" w:rsidRPr="00310B3F" w:rsidRDefault="00B41474" w:rsidP="00B41474">
      <w:pPr>
        <w:spacing w:line="288" w:lineRule="auto"/>
        <w:ind w:firstLine="720"/>
        <w:jc w:val="both"/>
        <w:rPr>
          <w:color w:val="000000" w:themeColor="text1"/>
          <w:sz w:val="28"/>
          <w:szCs w:val="28"/>
          <w:lang w:val="vi-VN"/>
        </w:rPr>
      </w:pPr>
      <w:r w:rsidRPr="00310B3F">
        <w:rPr>
          <w:sz w:val="28"/>
          <w:szCs w:val="28"/>
          <w:lang w:val="vi-VN"/>
        </w:rPr>
        <w:t>- Tạo môi trường hoạt động hàng không giàu tính cạnh tranh, bình đẳng và phát triển.</w:t>
      </w:r>
    </w:p>
    <w:p w14:paraId="55CD87EC" w14:textId="77777777" w:rsidR="00B41474" w:rsidRPr="00310B3F" w:rsidRDefault="00B41474" w:rsidP="00B41474">
      <w:pPr>
        <w:spacing w:line="288" w:lineRule="auto"/>
        <w:ind w:firstLine="720"/>
        <w:jc w:val="both"/>
        <w:rPr>
          <w:b/>
          <w:bCs/>
          <w:sz w:val="28"/>
          <w:szCs w:val="28"/>
          <w:lang w:val="vi-VN"/>
        </w:rPr>
      </w:pPr>
      <w:r w:rsidRPr="00310B3F">
        <w:rPr>
          <w:b/>
          <w:bCs/>
          <w:sz w:val="28"/>
          <w:szCs w:val="28"/>
          <w:lang w:val="vi-VN"/>
        </w:rPr>
        <w:t>3. Giải pháp thực hiện chính sách:</w:t>
      </w:r>
    </w:p>
    <w:p w14:paraId="48E45A2D" w14:textId="77777777" w:rsidR="00B41474" w:rsidRPr="00310B3F" w:rsidRDefault="00B41474" w:rsidP="00B41474">
      <w:pPr>
        <w:spacing w:line="288" w:lineRule="auto"/>
        <w:ind w:firstLine="720"/>
        <w:jc w:val="both"/>
        <w:rPr>
          <w:sz w:val="28"/>
          <w:szCs w:val="28"/>
          <w:lang w:val="vi-VN"/>
        </w:rPr>
      </w:pPr>
      <w:r w:rsidRPr="00310B3F">
        <w:rPr>
          <w:sz w:val="28"/>
          <w:szCs w:val="28"/>
          <w:lang w:val="vi-VN"/>
        </w:rPr>
        <w:t>- Giải pháp 1: Giữ nguyên như quy định hiện hành chỉ công nhận các tiêu chuẩn cấp Giấy chứng nhận Loại của 05 quốc gia là Hoa Kỳ (FAA), Châu Âu (EASA), Liên Bang Nga, Brazil và Canada</w:t>
      </w:r>
    </w:p>
    <w:p w14:paraId="7B644A55" w14:textId="4861B7B2" w:rsidR="00B41474" w:rsidRPr="00310B3F" w:rsidRDefault="00B41474" w:rsidP="00B41474">
      <w:pPr>
        <w:pStyle w:val="BodyText"/>
        <w:spacing w:line="288" w:lineRule="auto"/>
        <w:ind w:firstLine="720"/>
        <w:jc w:val="both"/>
        <w:rPr>
          <w:rFonts w:ascii="Times New Roman" w:hAnsi="Times New Roman" w:cs="Times New Roman"/>
          <w:sz w:val="28"/>
          <w:szCs w:val="28"/>
          <w:lang w:val="vi-VN"/>
        </w:rPr>
      </w:pPr>
      <w:r w:rsidRPr="00310B3F">
        <w:rPr>
          <w:rFonts w:ascii="Times New Roman" w:hAnsi="Times New Roman" w:cs="Times New Roman"/>
          <w:sz w:val="28"/>
          <w:szCs w:val="28"/>
          <w:lang w:val="vi-VN"/>
        </w:rPr>
        <w:t xml:space="preserve">- Giải pháp 2: Bổ sung thêm Trung Quốc </w:t>
      </w:r>
      <w:r w:rsidR="00FC6F86" w:rsidRPr="00FC6F86">
        <w:rPr>
          <w:rFonts w:ascii="Times New Roman" w:hAnsi="Times New Roman" w:cs="Times New Roman"/>
          <w:sz w:val="28"/>
          <w:szCs w:val="28"/>
          <w:lang w:val="vi-VN"/>
        </w:rPr>
        <w:t xml:space="preserve">và Vương Quốc Anh </w:t>
      </w:r>
      <w:r w:rsidRPr="00310B3F">
        <w:rPr>
          <w:rFonts w:ascii="Times New Roman" w:hAnsi="Times New Roman" w:cs="Times New Roman"/>
          <w:sz w:val="28"/>
          <w:szCs w:val="28"/>
          <w:lang w:val="vi-VN"/>
        </w:rPr>
        <w:t xml:space="preserve"> được công nhận các tiêu chuẩn thiết kế chế tạo tàu bay là cơ sở để công nhận Giấy chứng nhận Loại đối với các tàu bay do Cục Hàng không Trung Quốc</w:t>
      </w:r>
      <w:r w:rsidR="000475F5" w:rsidRPr="000475F5">
        <w:rPr>
          <w:rFonts w:ascii="Times New Roman" w:hAnsi="Times New Roman" w:cs="Times New Roman"/>
          <w:sz w:val="28"/>
          <w:szCs w:val="28"/>
          <w:lang w:val="vi-VN"/>
        </w:rPr>
        <w:t xml:space="preserve"> và Vương Quốc An</w:t>
      </w:r>
      <w:r w:rsidR="000475F5" w:rsidRPr="004B72E7">
        <w:rPr>
          <w:rFonts w:ascii="Times New Roman" w:hAnsi="Times New Roman" w:cs="Times New Roman"/>
          <w:sz w:val="28"/>
          <w:szCs w:val="28"/>
          <w:lang w:val="vi-VN"/>
        </w:rPr>
        <w:t>h</w:t>
      </w:r>
      <w:r w:rsidRPr="00310B3F">
        <w:rPr>
          <w:rFonts w:ascii="Times New Roman" w:hAnsi="Times New Roman" w:cs="Times New Roman"/>
          <w:sz w:val="28"/>
          <w:szCs w:val="28"/>
          <w:lang w:val="vi-VN"/>
        </w:rPr>
        <w:t xml:space="preserve"> cấp. </w:t>
      </w:r>
    </w:p>
    <w:p w14:paraId="5184A4DA" w14:textId="77777777" w:rsidR="00B41474" w:rsidRPr="00310B3F" w:rsidRDefault="00B41474" w:rsidP="00B41474">
      <w:pPr>
        <w:pStyle w:val="BodyText"/>
        <w:spacing w:line="288" w:lineRule="auto"/>
        <w:ind w:firstLine="720"/>
        <w:jc w:val="both"/>
        <w:rPr>
          <w:rFonts w:ascii="Times New Roman" w:hAnsi="Times New Roman" w:cs="Times New Roman"/>
          <w:b/>
          <w:bCs/>
          <w:sz w:val="28"/>
          <w:szCs w:val="28"/>
          <w:lang w:val="vi-VN"/>
        </w:rPr>
      </w:pPr>
      <w:r w:rsidRPr="00310B3F">
        <w:rPr>
          <w:rFonts w:ascii="Times New Roman" w:hAnsi="Times New Roman" w:cs="Times New Roman"/>
          <w:sz w:val="28"/>
          <w:szCs w:val="28"/>
          <w:lang w:val="vi-VN"/>
        </w:rPr>
        <w:t xml:space="preserve"> </w:t>
      </w:r>
      <w:r w:rsidRPr="00310B3F">
        <w:rPr>
          <w:rFonts w:ascii="Times New Roman" w:hAnsi="Times New Roman" w:cs="Times New Roman"/>
          <w:b/>
          <w:bCs/>
          <w:sz w:val="28"/>
          <w:szCs w:val="28"/>
          <w:lang w:val="vi-VN"/>
        </w:rPr>
        <w:t>4. Tác động của giải pháp</w:t>
      </w:r>
    </w:p>
    <w:p w14:paraId="68B51057" w14:textId="77777777" w:rsidR="00B41474" w:rsidRPr="00310B3F" w:rsidRDefault="00B41474" w:rsidP="00B41474">
      <w:pPr>
        <w:spacing w:line="288" w:lineRule="auto"/>
        <w:jc w:val="both"/>
        <w:rPr>
          <w:sz w:val="28"/>
          <w:szCs w:val="28"/>
          <w:lang w:val="vi-VN"/>
        </w:rPr>
      </w:pPr>
      <w:r w:rsidRPr="00310B3F">
        <w:rPr>
          <w:sz w:val="28"/>
          <w:szCs w:val="28"/>
          <w:lang w:val="vi-VN"/>
        </w:rPr>
        <w:tab/>
        <w:t xml:space="preserve">- Giải pháp 1:  Trong trường hợp giữ nguyên như Giải pháp 1 thì không không giải quyết, tháo gỡ được các khó khăn vướng mắc trong thực tiễn hoạt động hàng không, và không đảm bảo việc tạo hành lang pháp lý thuận lợi cho hoạt động hàng không được phát triển. </w:t>
      </w:r>
    </w:p>
    <w:p w14:paraId="0540CEF2" w14:textId="77777777" w:rsidR="00B41474" w:rsidRPr="00310B3F" w:rsidRDefault="00B41474" w:rsidP="00B41474">
      <w:pPr>
        <w:spacing w:line="288" w:lineRule="auto"/>
        <w:jc w:val="both"/>
        <w:rPr>
          <w:sz w:val="28"/>
          <w:szCs w:val="28"/>
          <w:lang w:val="vi-VN"/>
        </w:rPr>
      </w:pPr>
      <w:r w:rsidRPr="00310B3F">
        <w:rPr>
          <w:sz w:val="28"/>
          <w:szCs w:val="28"/>
          <w:lang w:val="vi-VN"/>
        </w:rPr>
        <w:tab/>
        <w:t>- Giải pháp 2:</w:t>
      </w:r>
    </w:p>
    <w:p w14:paraId="224FDEA0" w14:textId="151A4F23" w:rsidR="00B41474" w:rsidRPr="00310B3F" w:rsidRDefault="00B41474" w:rsidP="00B41474">
      <w:pPr>
        <w:spacing w:line="288" w:lineRule="auto"/>
        <w:ind w:firstLine="720"/>
        <w:jc w:val="both"/>
        <w:rPr>
          <w:sz w:val="28"/>
          <w:szCs w:val="28"/>
          <w:lang w:val="vi-VN"/>
        </w:rPr>
      </w:pPr>
      <w:r w:rsidRPr="00310B3F">
        <w:rPr>
          <w:sz w:val="28"/>
          <w:szCs w:val="28"/>
          <w:lang w:val="vi-VN"/>
        </w:rPr>
        <w:t xml:space="preserve">+  </w:t>
      </w:r>
      <w:r w:rsidRPr="00310B3F">
        <w:rPr>
          <w:bCs/>
          <w:sz w:val="28"/>
          <w:szCs w:val="28"/>
          <w:lang w:val="vi-VN"/>
        </w:rPr>
        <w:t>Đảm bảo hệ thống pháp luật đảm bảo đồng bộ, thống nhất trong hệ thống pháp luật Việt Nam từ Luật Hàng không dân dụng</w:t>
      </w:r>
      <w:r w:rsidR="00D03D12" w:rsidRPr="00D03D12">
        <w:rPr>
          <w:bCs/>
          <w:sz w:val="28"/>
          <w:szCs w:val="28"/>
          <w:lang w:val="vi-VN"/>
        </w:rPr>
        <w:t>, Nghị định 92/2016/NĐ-CP</w:t>
      </w:r>
      <w:r w:rsidRPr="00310B3F">
        <w:rPr>
          <w:bCs/>
          <w:sz w:val="28"/>
          <w:szCs w:val="28"/>
          <w:lang w:val="vi-VN"/>
        </w:rPr>
        <w:t xml:space="preserve"> </w:t>
      </w:r>
      <w:r w:rsidRPr="00310B3F">
        <w:rPr>
          <w:sz w:val="28"/>
          <w:szCs w:val="28"/>
          <w:lang w:val="vi-VN"/>
        </w:rPr>
        <w:t>và Bộ Quy chế An toàn hàng không dân dụng ban hành kèm theo Thông tư 01/2011/TT-BGTVT ngày 27/01/20211.</w:t>
      </w:r>
    </w:p>
    <w:p w14:paraId="6D1C6941" w14:textId="77777777" w:rsidR="00B41474" w:rsidRPr="00310B3F" w:rsidRDefault="00B41474" w:rsidP="00B41474">
      <w:pPr>
        <w:spacing w:line="288" w:lineRule="auto"/>
        <w:ind w:firstLine="720"/>
        <w:jc w:val="both"/>
        <w:rPr>
          <w:sz w:val="28"/>
          <w:szCs w:val="28"/>
          <w:lang w:val="vi-VN"/>
        </w:rPr>
      </w:pPr>
      <w:r w:rsidRPr="00310B3F">
        <w:rPr>
          <w:sz w:val="28"/>
          <w:szCs w:val="28"/>
          <w:lang w:val="vi-VN"/>
        </w:rPr>
        <w:t>+ Đảm bảo văn bản quy phạm pháp luật tạo hành lang pháp lý, phù hợp với thực tiễn phát triển ngành hàng không dân dụng để tạo điều kiện thuận lợi cho các hoạt động hàng không của Việt Nam.</w:t>
      </w:r>
    </w:p>
    <w:p w14:paraId="75FEC73D" w14:textId="77777777" w:rsidR="00B41474" w:rsidRPr="00310B3F" w:rsidRDefault="00B41474" w:rsidP="00B41474">
      <w:pPr>
        <w:spacing w:line="288" w:lineRule="auto"/>
        <w:ind w:firstLine="720"/>
        <w:jc w:val="both"/>
        <w:rPr>
          <w:sz w:val="28"/>
          <w:szCs w:val="28"/>
          <w:lang w:val="vi-VN"/>
        </w:rPr>
      </w:pPr>
      <w:r w:rsidRPr="00310B3F">
        <w:rPr>
          <w:sz w:val="28"/>
          <w:szCs w:val="28"/>
          <w:lang w:val="vi-VN"/>
        </w:rPr>
        <w:t xml:space="preserve">+ Thông qua việc sửa đổi, bổ sung Nghị định, giúp tăng cường hợp tác hữu nghị giữa Việt Nam với các đối tác truyền thống, tạo cơ hội, động lực mới cho ngành hàng không Việt Nam phát triển và là cơ sở quan trọng từng bước xây dựng và phát triển ngành hàng không Việt Nam thông qua tăng cường hợp tác, học tập </w:t>
      </w:r>
      <w:r w:rsidRPr="00310B3F">
        <w:rPr>
          <w:sz w:val="28"/>
          <w:szCs w:val="28"/>
          <w:lang w:val="vi-VN"/>
        </w:rPr>
        <w:lastRenderedPageBreak/>
        <w:t>và trao đổi kinh nghiệm, đặc biệt trong thiết kế, chế tạo tàu bay và các sản phẩm của tàu bay.</w:t>
      </w:r>
    </w:p>
    <w:p w14:paraId="4A2E6D44" w14:textId="77777777" w:rsidR="00B41474" w:rsidRPr="00310B3F" w:rsidRDefault="00B41474" w:rsidP="00B41474">
      <w:pPr>
        <w:spacing w:line="288" w:lineRule="auto"/>
        <w:ind w:firstLine="720"/>
        <w:jc w:val="both"/>
        <w:rPr>
          <w:sz w:val="28"/>
          <w:szCs w:val="28"/>
          <w:lang w:val="vi-VN"/>
        </w:rPr>
      </w:pPr>
      <w:r w:rsidRPr="00310B3F">
        <w:rPr>
          <w:sz w:val="28"/>
          <w:szCs w:val="28"/>
          <w:lang w:val="vi-VN"/>
        </w:rPr>
        <w:t>+ Việc sửa đổi, bổ sung Nghị định sẽ  giải quyết những vấn đề cấp bách phát sinh trong thực tiễn, cụ thể như sau:</w:t>
      </w:r>
    </w:p>
    <w:p w14:paraId="72229826" w14:textId="2F0A804D" w:rsidR="00B41474" w:rsidRPr="00310B3F" w:rsidRDefault="00B41474" w:rsidP="00B41474">
      <w:pPr>
        <w:spacing w:line="288" w:lineRule="auto"/>
        <w:ind w:firstLine="720"/>
        <w:jc w:val="both"/>
        <w:rPr>
          <w:sz w:val="28"/>
          <w:szCs w:val="28"/>
          <w:lang w:val="vi-VN"/>
        </w:rPr>
      </w:pPr>
      <w:r w:rsidRPr="00310B3F">
        <w:rPr>
          <w:sz w:val="28"/>
          <w:szCs w:val="28"/>
          <w:lang w:val="vi-VN"/>
        </w:rPr>
        <w:t xml:space="preserve">* Nhu cầu phát triển kinh tế xã hội </w:t>
      </w:r>
    </w:p>
    <w:p w14:paraId="3433F0D4" w14:textId="77777777" w:rsidR="00B41474" w:rsidRPr="00310B3F" w:rsidRDefault="00B41474" w:rsidP="00B41474">
      <w:pPr>
        <w:spacing w:line="288" w:lineRule="auto"/>
        <w:ind w:firstLine="720"/>
        <w:jc w:val="both"/>
        <w:rPr>
          <w:sz w:val="28"/>
          <w:szCs w:val="28"/>
          <w:lang w:val="vi-VN"/>
        </w:rPr>
      </w:pPr>
      <w:r w:rsidRPr="00310B3F">
        <w:rPr>
          <w:sz w:val="28"/>
          <w:szCs w:val="28"/>
          <w:lang w:val="vi-VN"/>
        </w:rPr>
        <w:t>- Nguồn cung tàu bay trên toàn cầu hạn chế do ảnh hưởng của đại dịch Covid, địa chính trị dẫn đến ảnh hưởng chuỗi cung ứng vật tư toàn cầu, ảnh hưởng của lệnh triệu hồi động cơ Pratt Witney trên phạm vi toàn cầu đến các tàu bay của Việt Nam đã ảnh hưởng lớn đến hoạt động và khả năng duy trì và mở rộng, phát triển thị trường của các hãng hàng không của Việt Nam.</w:t>
      </w:r>
    </w:p>
    <w:p w14:paraId="47AAB4C8" w14:textId="05C69F7A" w:rsidR="00B41474" w:rsidRPr="00310B3F" w:rsidRDefault="00B41474" w:rsidP="00B41474">
      <w:pPr>
        <w:spacing w:line="288" w:lineRule="auto"/>
        <w:ind w:firstLine="720"/>
        <w:jc w:val="both"/>
        <w:rPr>
          <w:sz w:val="28"/>
          <w:szCs w:val="28"/>
          <w:lang w:val="vi-VN"/>
        </w:rPr>
      </w:pPr>
      <w:r w:rsidRPr="001343AF">
        <w:rPr>
          <w:sz w:val="28"/>
          <w:szCs w:val="28"/>
          <w:highlight w:val="yellow"/>
          <w:lang w:val="vi-VN"/>
        </w:rPr>
        <w:t xml:space="preserve">- </w:t>
      </w:r>
      <w:r w:rsidR="001343AF" w:rsidRPr="001343AF">
        <w:rPr>
          <w:sz w:val="28"/>
          <w:szCs w:val="28"/>
          <w:highlight w:val="yellow"/>
          <w:lang w:val="vi-VN"/>
        </w:rPr>
        <w:t>Đa dạng hóa nguồn cung để đáp ứng</w:t>
      </w:r>
      <w:r w:rsidRPr="00310B3F">
        <w:rPr>
          <w:sz w:val="28"/>
          <w:szCs w:val="28"/>
          <w:lang w:val="vi-VN"/>
        </w:rPr>
        <w:t xml:space="preserve"> nhu cầu khai thác đa dạng đội bay, lợi thế đàm phán và khả năng tiếp cận ưu tiên tàu bay, tiếp cận cấu hình tàu bay phù hợp với nhu cầu phát triển và cơ sở hạ tầng sân bay khai thác theo nhu cầu của Hãng hàng không.</w:t>
      </w:r>
    </w:p>
    <w:p w14:paraId="7AE6263C" w14:textId="7EDA87BE" w:rsidR="00B41474" w:rsidRPr="00310B3F" w:rsidRDefault="00B41474" w:rsidP="00B41474">
      <w:pPr>
        <w:spacing w:line="288" w:lineRule="auto"/>
        <w:ind w:firstLine="720"/>
        <w:jc w:val="both"/>
        <w:rPr>
          <w:sz w:val="28"/>
          <w:szCs w:val="28"/>
          <w:lang w:val="vi-VN"/>
        </w:rPr>
      </w:pPr>
      <w:r w:rsidRPr="00310B3F">
        <w:rPr>
          <w:sz w:val="28"/>
          <w:szCs w:val="28"/>
          <w:lang w:val="vi-VN"/>
        </w:rPr>
        <w:t>- Các quy định của pháp luật đang giới hạn chỉ cho phép công nhận các tàu bay có Giấy chứng nhận loại do Cục Hàng không Liên Bang Mỹ (FAA) cấp, Cơ quan an toàn hàng không Châu Âu (EASA), các nhà chức trách hàng không Brazil, Nga và Canada trước đây đã đảm bảo cho hoạt động khai thác tàu bay của ngành hàng không Việt Nam. Tuy nhiên, sau đại dịch covid, trước các diễn biến về tình hình địa chính trị trên thế giới, trước các thành tựu khoa học công nghệ mới không thể phủ nhận của một số quốc gia trong thời gian vừa qua, việc giới hạn tàu bay theo quy định hiện hành sẽ làm mất đi cơ hội tiếp cận của các Hãng hàng không Việt Nam trong hợp tác, đổi mới công nghệ, nâng cao năng lực cạnh tranh và hạn chế không gian phát triển của các hãng hàng không trong điều kiện tình hình mới.</w:t>
      </w:r>
    </w:p>
    <w:p w14:paraId="6A55B3DF" w14:textId="77777777" w:rsidR="00B41474" w:rsidRPr="00310B3F" w:rsidRDefault="00B41474" w:rsidP="00B41474">
      <w:pPr>
        <w:spacing w:line="288" w:lineRule="auto"/>
        <w:ind w:firstLine="720"/>
        <w:jc w:val="both"/>
        <w:rPr>
          <w:sz w:val="28"/>
          <w:szCs w:val="28"/>
          <w:lang w:val="vi-VN"/>
        </w:rPr>
      </w:pPr>
      <w:r w:rsidRPr="00310B3F">
        <w:rPr>
          <w:sz w:val="28"/>
          <w:szCs w:val="28"/>
          <w:lang w:val="vi-VN"/>
        </w:rPr>
        <w:t>- Việc sửa đổi, bổ sung các quy định chắc chắn sẽ tạo lợi thế dẫn dắt, hành lang pháp lý và cơ hội phát triển mang tính đột phát cho hoạt động của ngành hàng không trong tương lai.</w:t>
      </w:r>
    </w:p>
    <w:p w14:paraId="74E25763" w14:textId="77777777" w:rsidR="00B41474" w:rsidRPr="00310B3F" w:rsidRDefault="00B41474" w:rsidP="00B41474">
      <w:pPr>
        <w:spacing w:line="288" w:lineRule="auto"/>
        <w:ind w:firstLine="720"/>
        <w:jc w:val="both"/>
        <w:rPr>
          <w:sz w:val="28"/>
          <w:szCs w:val="28"/>
          <w:lang w:val="vi-VN"/>
        </w:rPr>
      </w:pPr>
      <w:r w:rsidRPr="00310B3F">
        <w:rPr>
          <w:sz w:val="28"/>
          <w:szCs w:val="28"/>
          <w:lang w:val="vi-VN"/>
        </w:rPr>
        <w:t xml:space="preserve">- Việc sửa đổi, bổ sung cũng phù hợp với nhu cầu về khai thác kinh doanh của hãng hàng không của Việt Nam. </w:t>
      </w:r>
    </w:p>
    <w:p w14:paraId="2A3F67F4" w14:textId="40E8E95B" w:rsidR="00B41474" w:rsidRPr="00310B3F" w:rsidRDefault="00B41474" w:rsidP="00B41474">
      <w:pPr>
        <w:spacing w:line="288" w:lineRule="auto"/>
        <w:ind w:firstLine="720"/>
        <w:jc w:val="both"/>
        <w:rPr>
          <w:sz w:val="28"/>
          <w:szCs w:val="28"/>
          <w:lang w:val="vi-VN"/>
        </w:rPr>
      </w:pPr>
      <w:r w:rsidRPr="00310B3F">
        <w:rPr>
          <w:sz w:val="28"/>
          <w:szCs w:val="28"/>
          <w:lang w:val="vi-VN"/>
        </w:rPr>
        <w:t>* Tăng cường hợp tác, hữu nghị với các quốc gia</w:t>
      </w:r>
    </w:p>
    <w:p w14:paraId="5D83C033" w14:textId="77777777" w:rsidR="00B41474" w:rsidRPr="00310B3F" w:rsidRDefault="00B41474" w:rsidP="00B41474">
      <w:pPr>
        <w:spacing w:line="288" w:lineRule="auto"/>
        <w:ind w:firstLine="720"/>
        <w:jc w:val="both"/>
        <w:rPr>
          <w:sz w:val="28"/>
          <w:szCs w:val="28"/>
          <w:lang w:val="vi-VN"/>
        </w:rPr>
      </w:pPr>
      <w:r w:rsidRPr="00310B3F">
        <w:rPr>
          <w:sz w:val="28"/>
          <w:szCs w:val="28"/>
          <w:lang w:val="vi-VN"/>
        </w:rPr>
        <w:t>Việc sửa đổi, bổ sung các quy định hiện nay cũng thể hiện sự công nhận của Việt Nam đối với năng lực khoa học công nghệ của các quốc gia từ đó nâng cao sự tin tưởng, hiểu biết và quan hệ hữu nghị truyền thống, không chỉ giúp cho ngành hàng không Việt Nam có những cơ hội mới, mà còn đem lại những lợi ích chung cho phát triển hạ tầng, giao thông nói riêng và phát triển, tăng trưởng kinh tế nói chung.</w:t>
      </w:r>
    </w:p>
    <w:p w14:paraId="22714616" w14:textId="424D2AAA" w:rsidR="00B41474" w:rsidRPr="00310B3F" w:rsidRDefault="00B41474" w:rsidP="00B41474">
      <w:pPr>
        <w:spacing w:line="288" w:lineRule="auto"/>
        <w:ind w:firstLine="720"/>
        <w:jc w:val="both"/>
        <w:rPr>
          <w:sz w:val="28"/>
          <w:szCs w:val="28"/>
          <w:lang w:val="vi-VN"/>
        </w:rPr>
      </w:pPr>
      <w:r w:rsidRPr="00310B3F">
        <w:rPr>
          <w:sz w:val="28"/>
          <w:szCs w:val="28"/>
          <w:lang w:val="vi-VN"/>
        </w:rPr>
        <w:lastRenderedPageBreak/>
        <w:t>* Cơ hội nâng cao năng lực của Việt Nam liên quan đến thiết kế, chế tạo, sản xuất tàu bay và thiết bị tàu bay; tiếp cận khoa học, công nghệ, chuyển đổi số thông qua hợp tác với các nhà chức trách hàng không trên thế giới, với các nhà sản xuất tàu bay mới.</w:t>
      </w:r>
    </w:p>
    <w:p w14:paraId="6E9A807F" w14:textId="77777777" w:rsidR="00B41474" w:rsidRPr="00310B3F" w:rsidRDefault="00B41474" w:rsidP="00B41474">
      <w:pPr>
        <w:spacing w:line="288" w:lineRule="auto"/>
        <w:ind w:firstLine="720"/>
        <w:jc w:val="both"/>
        <w:rPr>
          <w:sz w:val="28"/>
          <w:szCs w:val="28"/>
          <w:lang w:val="vi-VN"/>
        </w:rPr>
      </w:pPr>
      <w:r w:rsidRPr="00310B3F">
        <w:rPr>
          <w:sz w:val="28"/>
          <w:szCs w:val="28"/>
          <w:lang w:val="vi-VN"/>
        </w:rPr>
        <w:t>Việc chấp nhận các loại tàu bay mới với các thương hiệu mới đem lại cơ hội cho việc tiếp cận thông tin, tiếp cận kiến thức, kinh nghiệm thông qua việc hợp tác với các quốc gia nâng cao năng lực hơn nữa cho ngành hàng không Việt Nam trước các yêu cầu ngày càng cao của nhu cầu phát triển trong kỷ nguyên mới.</w:t>
      </w:r>
    </w:p>
    <w:p w14:paraId="3840856B" w14:textId="77777777" w:rsidR="00B41474" w:rsidRPr="00310B3F" w:rsidRDefault="00B41474" w:rsidP="00B41474">
      <w:pPr>
        <w:spacing w:line="288" w:lineRule="auto"/>
        <w:ind w:firstLine="720"/>
        <w:jc w:val="both"/>
        <w:rPr>
          <w:b/>
          <w:bCs/>
          <w:sz w:val="28"/>
          <w:szCs w:val="28"/>
          <w:lang w:val="vi-VN"/>
        </w:rPr>
      </w:pPr>
      <w:r w:rsidRPr="00310B3F">
        <w:rPr>
          <w:b/>
          <w:bCs/>
          <w:sz w:val="28"/>
          <w:szCs w:val="28"/>
          <w:lang w:val="vi-VN"/>
        </w:rPr>
        <w:t>+ Đảm bảo an toàn hàng không:</w:t>
      </w:r>
    </w:p>
    <w:p w14:paraId="1E4B2853" w14:textId="77777777" w:rsidR="00B41474" w:rsidRPr="00310B3F" w:rsidRDefault="00B41474" w:rsidP="00B41474">
      <w:pPr>
        <w:spacing w:line="288" w:lineRule="auto"/>
        <w:ind w:firstLine="720"/>
        <w:jc w:val="both"/>
        <w:rPr>
          <w:sz w:val="28"/>
          <w:szCs w:val="28"/>
          <w:lang w:val="vi-VN"/>
        </w:rPr>
      </w:pPr>
      <w:r w:rsidRPr="00310B3F">
        <w:rPr>
          <w:sz w:val="28"/>
          <w:szCs w:val="28"/>
          <w:lang w:val="vi-VN"/>
        </w:rPr>
        <w:t>Để xây dựng chính sách, Bộ Xây dựng đã chỉ đạo Cục Hàng không Việt Nam thực hiện khảo sát, tìm hiểu tổng quan về kỹ thuật, khai thác, bảo dưỡng và các tiêu chuẩn thiết kế, chế tạo, thử nghiệm và quy trình cấp giấy chứng nhận loại tàu bay ARJ21- 700 (C909). Thông qua khảo sát có thể đánh giá:</w:t>
      </w:r>
    </w:p>
    <w:p w14:paraId="4456B272" w14:textId="256A9719" w:rsidR="00B41474" w:rsidRPr="00310B3F" w:rsidRDefault="00B41474" w:rsidP="00B41474">
      <w:pPr>
        <w:spacing w:line="288" w:lineRule="auto"/>
        <w:ind w:firstLine="720"/>
        <w:jc w:val="both"/>
        <w:rPr>
          <w:sz w:val="28"/>
          <w:szCs w:val="28"/>
          <w:lang w:val="vi-VN"/>
        </w:rPr>
      </w:pPr>
      <w:r w:rsidRPr="00310B3F">
        <w:rPr>
          <w:sz w:val="28"/>
          <w:szCs w:val="28"/>
          <w:lang w:val="vi-VN"/>
        </w:rPr>
        <w:t>* Về hệ thống Quy chế an toàn hàng không (Regulation) của Trung Quốc</w:t>
      </w:r>
    </w:p>
    <w:p w14:paraId="4D08A564" w14:textId="77777777" w:rsidR="00B41474" w:rsidRPr="00310B3F" w:rsidRDefault="00B41474" w:rsidP="00B41474">
      <w:pPr>
        <w:spacing w:line="312" w:lineRule="auto"/>
        <w:ind w:firstLine="720"/>
        <w:jc w:val="both"/>
        <w:rPr>
          <w:sz w:val="27"/>
          <w:szCs w:val="27"/>
          <w:lang w:val="vi-VN"/>
        </w:rPr>
      </w:pPr>
      <w:r w:rsidRPr="00310B3F">
        <w:rPr>
          <w:sz w:val="27"/>
          <w:szCs w:val="27"/>
          <w:lang w:val="vi-VN"/>
        </w:rPr>
        <w:t xml:space="preserve">Hệ thống quy chế an toàn (CAAC Regulations) của Trung Quốc được thiết lập các Phần (Parts) tương tự như cách tổ chức các Parts của Cục Hàng không Liên Bang Mỹ (FAA). Trong đó, liên quan đến thiết kế, chế tạo tàu bay, các quy định của Trung Quốc bao gồm CCAR 25 Tiêu chuẩn thiết kế đủ điều kiện bay tàu bay vận tải hàng không, CCAR 33 Tiêu chuẩn thiết kế đủ điều kiện bay của động cơ tàu bay, CCAR 34 các yêu cầu về phát thải và lưu thông nhiên liệu đối với động cơ Tuốc bin, CCAR 36 các tiêu chuẩn về tiếng ồn đối với chứng nhận loại và đủ điều kiện bay của tàu bay tương đương với hệ thống quy định và tiêu chuẩn của FAA (FAR) 25, 33, 34, 36. Thông qua IPA giữa Cục HKDD Trung Quốc (CAAC) và Cục Hàng không Liên Bang Mỹ (FAA), thông tin về sự khác biệt đáng kể về tiêu chuẩn đủ điều kiện bay giữa hai quốc gia liên quan đến thiết kế loại tàu bay sẽ được nhận dạng trên cơ sở đối chiếu quy định của hai quốc gia. Qua báo cáo Khác biệt tiêu chuẩn đáng kể (Significant Standards Differences (SSD) giữa CAAC và FAA đối với thiết kế máy bay vận tải chủ yếu liên quan đến việc các chỉ dẫn duy trì đủ điều kiện bay và nhãn, mác đối với cửa thoát hiểm phải chuẩn bị bằng tiếng Trung Quốc. </w:t>
      </w:r>
    </w:p>
    <w:p w14:paraId="5FBDCF55" w14:textId="05335DAC" w:rsidR="00B41474" w:rsidRPr="00310B3F" w:rsidRDefault="00B41474" w:rsidP="00B41474">
      <w:pPr>
        <w:spacing w:line="312" w:lineRule="auto"/>
        <w:ind w:firstLine="720"/>
        <w:jc w:val="both"/>
        <w:rPr>
          <w:sz w:val="27"/>
          <w:szCs w:val="27"/>
          <w:lang w:val="vi-VN"/>
        </w:rPr>
      </w:pPr>
      <w:r w:rsidRPr="00310B3F">
        <w:rPr>
          <w:sz w:val="27"/>
          <w:szCs w:val="27"/>
          <w:lang w:val="vi-VN"/>
        </w:rPr>
        <w:t>* Về quá trình cấp Giấy chứng nhận Loại tàu bay C909</w:t>
      </w:r>
    </w:p>
    <w:p w14:paraId="0FC7E033" w14:textId="77777777" w:rsidR="00B41474" w:rsidRPr="00310B3F" w:rsidRDefault="00B41474" w:rsidP="00B41474">
      <w:pPr>
        <w:spacing w:line="312" w:lineRule="auto"/>
        <w:ind w:firstLine="567"/>
        <w:jc w:val="both"/>
        <w:rPr>
          <w:sz w:val="27"/>
          <w:szCs w:val="27"/>
          <w:lang w:val="vi-VN"/>
        </w:rPr>
      </w:pPr>
      <w:r w:rsidRPr="00310B3F">
        <w:rPr>
          <w:sz w:val="27"/>
          <w:szCs w:val="27"/>
          <w:lang w:val="vi-VN"/>
        </w:rPr>
        <w:t xml:space="preserve">COMAC nộp đơn xin cấp Chứng nhận loại (TC) lần đầu từ ngày 20/01/2003 và cho đến ngày 29/12/2014 đã được Cục hàng không Trung Quốc (CAAC) cấp TC cho tàu bay Tàu bay ARJ21-700 (C909).   </w:t>
      </w:r>
    </w:p>
    <w:p w14:paraId="01F0C2B9" w14:textId="77777777" w:rsidR="00B41474" w:rsidRPr="00310B3F" w:rsidRDefault="00B41474" w:rsidP="00B41474">
      <w:pPr>
        <w:spacing w:line="312" w:lineRule="auto"/>
        <w:ind w:firstLine="720"/>
        <w:jc w:val="both"/>
        <w:rPr>
          <w:sz w:val="27"/>
          <w:szCs w:val="27"/>
          <w:lang w:val="vi-VN"/>
        </w:rPr>
      </w:pPr>
      <w:r w:rsidRPr="00310B3F">
        <w:rPr>
          <w:sz w:val="27"/>
          <w:szCs w:val="27"/>
          <w:lang w:val="vi-VN"/>
        </w:rPr>
        <w:t xml:space="preserve">Trang thiết bị chính lắp trên tàu bay gồm hai động cơ GE CF34-10A của General Electric (Mỹ), Landing gear của Liebherr Aerospace (Pháp), động cơ phụ </w:t>
      </w:r>
      <w:r w:rsidRPr="00310B3F">
        <w:rPr>
          <w:sz w:val="27"/>
          <w:szCs w:val="27"/>
          <w:lang w:val="vi-VN"/>
        </w:rPr>
        <w:lastRenderedPageBreak/>
        <w:t>(APU) của Hamilton Sunstrand (Mỹ), các thiết bị thuộc Flight control của Honeywell (Mỹ), Thiết bị thuộc hệ thống điện, điện tử (Avionic) của Rockwell Collins (Mỹ). Trong số 22 nhà sản xuất thiết bị gốc (OEM) quan trọng, có 3 nhà sản xuất của Trung Quốc (chiếm tỷ lệ 13,6%).</w:t>
      </w:r>
    </w:p>
    <w:p w14:paraId="0C6ADD8C" w14:textId="1E9D3CD2" w:rsidR="00B41474" w:rsidRPr="00310B3F" w:rsidRDefault="00B41474" w:rsidP="00B41474">
      <w:pPr>
        <w:spacing w:line="312" w:lineRule="auto"/>
        <w:ind w:firstLine="567"/>
        <w:jc w:val="both"/>
        <w:rPr>
          <w:sz w:val="27"/>
          <w:szCs w:val="27"/>
          <w:lang w:val="vi-VN"/>
        </w:rPr>
      </w:pPr>
      <w:r w:rsidRPr="00310B3F">
        <w:rPr>
          <w:sz w:val="27"/>
          <w:szCs w:val="27"/>
          <w:lang w:val="vi-VN"/>
        </w:rPr>
        <w:t>* Về dữ liệu khai thác thực tế</w:t>
      </w:r>
    </w:p>
    <w:p w14:paraId="7AC1E906" w14:textId="77777777" w:rsidR="00B41474" w:rsidRPr="00310B3F" w:rsidRDefault="00B41474" w:rsidP="00B41474">
      <w:pPr>
        <w:spacing w:line="312" w:lineRule="auto"/>
        <w:ind w:firstLine="720"/>
        <w:jc w:val="both"/>
        <w:rPr>
          <w:sz w:val="27"/>
          <w:szCs w:val="27"/>
          <w:lang w:val="vi-VN"/>
        </w:rPr>
      </w:pPr>
      <w:r w:rsidRPr="00310B3F">
        <w:rPr>
          <w:sz w:val="27"/>
          <w:szCs w:val="27"/>
          <w:lang w:val="vi-VN"/>
        </w:rPr>
        <w:t>Tính đến 05/01/2025, 160 tàu bay C909 đã được cung cấp đến tổng cộng 12 hãng hàng không trong đó có 11 của Trung Quốc và 01 của Indonesia, đã chuyên chở tổng cộng hơn 19,16 triệu hành khách trên tổng cộng 633 đường bay tới 158 thành phố, 181 sân bay với giới bay tích lũy tổng là hơn 550,000 giờ bay và hơn 330,000 lượt cất hạ cánh. Qua dữ liệu báo cáo của COMAC, không có tai nạn, sự cố nghiêm trọng xảy ra với tàu bay C909 kể từ khi tàu bay này đi vào hoạt động. Trong năm 2024, giờ bay trung bình khai thác tàu bay C909 hàng ngày vào khoảng 5,2 giờ (block time) với độ tin cậy (dispatch reliability) vào khoảng hơn 99%. Cũng trong năm 2024, đội bay C909 bay được khoảng 194,000 giờ với khoảng hơn 135,000 lượt CHC trong đó 509 gián đoạn khai thác (interruptions) bao gồm 131 chuyến bay bị hủy vì lý do kỹ thuật (mechanical reasons). Tỷ lệ gián đoạn khai thác do kỹ thuật là 3,77 trên 1000 chuyến bay, và tỷ lệ hủy chuyến là 0,97 trên 1000 chuyến bay.</w:t>
      </w:r>
    </w:p>
    <w:p w14:paraId="7C157F9B" w14:textId="1132F3A6" w:rsidR="00B41474" w:rsidRPr="00310B3F" w:rsidRDefault="00B41474" w:rsidP="00B41474">
      <w:pPr>
        <w:spacing w:line="312" w:lineRule="auto"/>
        <w:ind w:firstLine="720"/>
        <w:jc w:val="both"/>
        <w:rPr>
          <w:sz w:val="27"/>
          <w:szCs w:val="27"/>
          <w:lang w:val="vi-VN"/>
        </w:rPr>
      </w:pPr>
      <w:r w:rsidRPr="00310B3F">
        <w:rPr>
          <w:sz w:val="27"/>
          <w:szCs w:val="27"/>
          <w:lang w:val="vi-VN"/>
        </w:rPr>
        <w:t>* Về năng lực của nhà chức trách hàng không Trung Quốc theo Thanh sát an toàn hàng không toàn cầu (USOAP) của ICAO</w:t>
      </w:r>
    </w:p>
    <w:p w14:paraId="5FCD58B7" w14:textId="77777777" w:rsidR="00B41474" w:rsidRPr="00310B3F" w:rsidRDefault="00B41474" w:rsidP="00B41474">
      <w:pPr>
        <w:spacing w:line="312" w:lineRule="auto"/>
        <w:ind w:firstLine="720"/>
        <w:jc w:val="both"/>
        <w:rPr>
          <w:sz w:val="27"/>
          <w:szCs w:val="27"/>
          <w:lang w:val="vi-VN"/>
        </w:rPr>
      </w:pPr>
      <w:r w:rsidRPr="00310B3F">
        <w:rPr>
          <w:sz w:val="27"/>
          <w:szCs w:val="27"/>
          <w:lang w:val="vi-VN"/>
        </w:rPr>
        <w:t>Trung Quốc (2024): Thực thi hiệu quả (EI)  90,19%   ; AIR:  94,83% và là một trong trong những quốc gia có chỉ số cao nhất trong nhóm 7 nhà chức trách hàng không của các quốc gia dự kiến đưa vào Nghị định.</w:t>
      </w:r>
    </w:p>
    <w:p w14:paraId="63D1449D" w14:textId="6A674E4D" w:rsidR="00B41474" w:rsidRPr="00310B3F" w:rsidRDefault="00A83821" w:rsidP="00B41474">
      <w:pPr>
        <w:spacing w:line="288" w:lineRule="auto"/>
        <w:ind w:firstLine="720"/>
        <w:jc w:val="both"/>
        <w:rPr>
          <w:sz w:val="28"/>
          <w:szCs w:val="28"/>
          <w:lang w:val="vi-VN"/>
        </w:rPr>
      </w:pPr>
      <w:r w:rsidRPr="00A83821">
        <w:rPr>
          <w:sz w:val="28"/>
          <w:szCs w:val="28"/>
          <w:lang w:val="vi-VN"/>
        </w:rPr>
        <w:t xml:space="preserve">* </w:t>
      </w:r>
      <w:r w:rsidR="00B41474" w:rsidRPr="00310B3F">
        <w:rPr>
          <w:sz w:val="28"/>
          <w:szCs w:val="28"/>
          <w:lang w:val="vi-VN"/>
        </w:rPr>
        <w:t>Đối với việc đưa Nhà chức trách hàng không Vương Quốc Anh nhằm thuận lợi cho thủ tục hành chính, đảm bảo hoạt động hàng không được diễn ra liên tục, an toàn do đây là nhà chức trách hàng không thiết kế, chế tạo và tách ra khỏi EASA từ năm 2021.</w:t>
      </w:r>
    </w:p>
    <w:p w14:paraId="6E421698" w14:textId="77777777" w:rsidR="00B41474" w:rsidRPr="00310B3F" w:rsidRDefault="00B41474" w:rsidP="00B41474">
      <w:pPr>
        <w:spacing w:line="288" w:lineRule="auto"/>
        <w:jc w:val="both"/>
        <w:rPr>
          <w:b/>
          <w:bCs/>
          <w:sz w:val="28"/>
          <w:szCs w:val="28"/>
          <w:lang w:val="vi-VN"/>
        </w:rPr>
      </w:pPr>
      <w:r w:rsidRPr="00310B3F">
        <w:rPr>
          <w:b/>
          <w:bCs/>
          <w:sz w:val="28"/>
          <w:szCs w:val="28"/>
          <w:lang w:val="vi-VN"/>
        </w:rPr>
        <w:tab/>
        <w:t xml:space="preserve">5. Kiến nghị lựa chọn: </w:t>
      </w:r>
    </w:p>
    <w:p w14:paraId="7869C412" w14:textId="77777777" w:rsidR="00B41474" w:rsidRPr="00310B3F" w:rsidRDefault="00B41474" w:rsidP="00B41474">
      <w:pPr>
        <w:spacing w:line="288" w:lineRule="auto"/>
        <w:ind w:firstLine="720"/>
        <w:jc w:val="both"/>
        <w:rPr>
          <w:sz w:val="28"/>
          <w:szCs w:val="28"/>
          <w:lang w:val="vi-VN"/>
        </w:rPr>
      </w:pPr>
      <w:r w:rsidRPr="00310B3F">
        <w:rPr>
          <w:sz w:val="28"/>
          <w:szCs w:val="28"/>
          <w:lang w:val="vi-VN"/>
        </w:rPr>
        <w:t xml:space="preserve"> Đề nghị lựa chọn phương án 2:  Bổ sung điểm 6, 7 khoản c Điều 3.030 quy định tại Phần 3 Bộ Quy chế An toàn hàng không ban hành kèm theo Thông tư 01/2011/TT-BGTVT ngày 27/01/2011 như sau:</w:t>
      </w:r>
    </w:p>
    <w:p w14:paraId="0C93D450" w14:textId="77777777" w:rsidR="00B41474" w:rsidRPr="00310B3F" w:rsidRDefault="00B41474" w:rsidP="00B41474">
      <w:pPr>
        <w:spacing w:line="288" w:lineRule="auto"/>
        <w:ind w:firstLine="720"/>
        <w:jc w:val="both"/>
        <w:rPr>
          <w:sz w:val="28"/>
          <w:szCs w:val="28"/>
          <w:lang w:val="vi-VN"/>
        </w:rPr>
      </w:pPr>
      <w:r w:rsidRPr="00310B3F">
        <w:rPr>
          <w:sz w:val="28"/>
          <w:szCs w:val="28"/>
          <w:lang w:val="vi-VN"/>
        </w:rPr>
        <w:t>“6. Nhà chức trách hàng không Trung Quốc (CAAC) đối với các tàu bay có Giấy chứng nhận loại do Nhà chức trách hàng không Trung Quốc cấp.</w:t>
      </w:r>
    </w:p>
    <w:p w14:paraId="4D6A1CD2" w14:textId="0B6C0907" w:rsidR="00B41474" w:rsidRPr="00310B3F" w:rsidRDefault="00B41474" w:rsidP="00B41474">
      <w:pPr>
        <w:spacing w:line="288" w:lineRule="auto"/>
        <w:ind w:firstLine="720"/>
        <w:jc w:val="both"/>
        <w:rPr>
          <w:sz w:val="28"/>
          <w:szCs w:val="28"/>
          <w:lang w:val="vi-VN"/>
        </w:rPr>
      </w:pPr>
      <w:r w:rsidRPr="00310B3F">
        <w:rPr>
          <w:sz w:val="28"/>
          <w:szCs w:val="28"/>
          <w:lang w:val="vi-VN"/>
        </w:rPr>
        <w:t xml:space="preserve">7. Nhà chức trách hàng không Vương Quốc Anh đối với các tàu bay có Giấy chứng nhận loại do Nhà chức trách hàng không </w:t>
      </w:r>
      <w:r w:rsidR="00310B3F" w:rsidRPr="002B5CE5">
        <w:rPr>
          <w:sz w:val="28"/>
          <w:szCs w:val="28"/>
          <w:lang w:val="vi-VN"/>
        </w:rPr>
        <w:t>Vương Quốc Anh</w:t>
      </w:r>
      <w:r w:rsidRPr="00310B3F">
        <w:rPr>
          <w:sz w:val="28"/>
          <w:szCs w:val="28"/>
          <w:lang w:val="vi-VN"/>
        </w:rPr>
        <w:t xml:space="preserve"> cấp.”</w:t>
      </w:r>
    </w:p>
    <w:p w14:paraId="7AE08551" w14:textId="77777777" w:rsidR="00B41474" w:rsidRPr="00310B3F" w:rsidRDefault="00B41474" w:rsidP="00B41474">
      <w:pPr>
        <w:pStyle w:val="BodyText"/>
        <w:spacing w:line="288" w:lineRule="auto"/>
        <w:ind w:firstLine="720"/>
        <w:jc w:val="both"/>
        <w:rPr>
          <w:rFonts w:ascii="Times New Roman" w:hAnsi="Times New Roman" w:cs="Times New Roman"/>
          <w:b/>
          <w:color w:val="000000"/>
          <w:sz w:val="28"/>
          <w:szCs w:val="28"/>
          <w:lang w:val="vi-VN"/>
        </w:rPr>
      </w:pPr>
      <w:r w:rsidRPr="00310B3F">
        <w:rPr>
          <w:rFonts w:ascii="Times New Roman" w:hAnsi="Times New Roman" w:cs="Times New Roman"/>
          <w:b/>
          <w:color w:val="000000"/>
          <w:sz w:val="28"/>
          <w:szCs w:val="28"/>
          <w:lang w:val="vi-VN"/>
        </w:rPr>
        <w:t>III. Ý kiến tham vấn</w:t>
      </w:r>
    </w:p>
    <w:p w14:paraId="12677D3F" w14:textId="77777777" w:rsidR="00B41474" w:rsidRPr="002B5CE5" w:rsidRDefault="00B41474" w:rsidP="00B41474">
      <w:pPr>
        <w:spacing w:line="288" w:lineRule="auto"/>
        <w:ind w:firstLine="720"/>
        <w:jc w:val="both"/>
        <w:rPr>
          <w:sz w:val="28"/>
          <w:szCs w:val="28"/>
          <w:lang w:val="vi-VN"/>
        </w:rPr>
      </w:pPr>
      <w:r w:rsidRPr="00310B3F">
        <w:rPr>
          <w:sz w:val="28"/>
          <w:szCs w:val="28"/>
          <w:lang w:val="vi-VN"/>
        </w:rPr>
        <w:lastRenderedPageBreak/>
        <w:t>Trong quá trình xây dựng dự thảo Thông tư, Cục Hàng không Việt Nam đã gửi  văn bản gửi xin ý kiến các cơ quan, đơn vị liên quan để xin ý kiến đối với dự thảo Thông tư để xin ý kiến phản biện của xã hội với mục tiêu mong nhận được tối đa các ý kiến góp ý, qua đó tổng hợp, tiếp thu và giải trình để hoàn thiện dự thảo Thông tư.</w:t>
      </w:r>
    </w:p>
    <w:p w14:paraId="6DD5E206" w14:textId="77777777" w:rsidR="00310B3F" w:rsidRPr="002B5CE5" w:rsidRDefault="00310B3F" w:rsidP="00B41474">
      <w:pPr>
        <w:spacing w:line="288" w:lineRule="auto"/>
        <w:ind w:firstLine="720"/>
        <w:jc w:val="both"/>
        <w:rPr>
          <w:sz w:val="28"/>
          <w:szCs w:val="28"/>
          <w:lang w:val="vi-VN"/>
        </w:rPr>
      </w:pPr>
    </w:p>
    <w:p w14:paraId="273CA770" w14:textId="77777777" w:rsidR="00B41474" w:rsidRPr="00310B3F" w:rsidRDefault="00B41474" w:rsidP="00B41474">
      <w:pPr>
        <w:spacing w:line="288" w:lineRule="auto"/>
        <w:jc w:val="both"/>
        <w:rPr>
          <w:b/>
          <w:color w:val="000000"/>
          <w:sz w:val="28"/>
          <w:szCs w:val="28"/>
          <w:lang w:val="vi-VN"/>
        </w:rPr>
      </w:pPr>
      <w:r w:rsidRPr="00310B3F">
        <w:rPr>
          <w:b/>
          <w:color w:val="000000"/>
          <w:sz w:val="28"/>
          <w:szCs w:val="28"/>
          <w:lang w:val="vi-VN"/>
        </w:rPr>
        <w:tab/>
        <w:t>IV. Giám sát và đánh giá</w:t>
      </w:r>
    </w:p>
    <w:p w14:paraId="5CF04D73" w14:textId="77777777" w:rsidR="00B41474" w:rsidRPr="00310B3F" w:rsidRDefault="00B41474" w:rsidP="00B41474">
      <w:pPr>
        <w:spacing w:line="288" w:lineRule="auto"/>
        <w:ind w:firstLine="720"/>
        <w:jc w:val="both"/>
        <w:rPr>
          <w:sz w:val="28"/>
          <w:szCs w:val="28"/>
          <w:lang w:val="vi-VN"/>
        </w:rPr>
      </w:pPr>
      <w:r w:rsidRPr="00310B3F">
        <w:rPr>
          <w:sz w:val="28"/>
          <w:szCs w:val="28"/>
          <w:lang w:val="vi-VN"/>
        </w:rPr>
        <w:t>Sau khi Thông tư được ban hành, các cơ quan từ Trung ương đến địa phương có trách nhiệm thi hành chính sách, giám sát và đánh giá việc thi hành chính sách:</w:t>
      </w:r>
    </w:p>
    <w:p w14:paraId="09D825D9" w14:textId="77777777" w:rsidR="00B41474" w:rsidRPr="00310B3F" w:rsidRDefault="00B41474" w:rsidP="00B41474">
      <w:pPr>
        <w:spacing w:line="288" w:lineRule="auto"/>
        <w:ind w:firstLine="720"/>
        <w:jc w:val="both"/>
        <w:rPr>
          <w:sz w:val="28"/>
          <w:szCs w:val="28"/>
          <w:lang w:val="vi-VN"/>
        </w:rPr>
      </w:pPr>
      <w:r w:rsidRPr="00310B3F">
        <w:rPr>
          <w:sz w:val="28"/>
          <w:szCs w:val="28"/>
          <w:lang w:val="vi-VN"/>
        </w:rPr>
        <w:t>- Cơ quan chịu trách nhiệm tổ chức thi hành chính sách: Bộ Xây dựng và các Bộ, ngành liên quan; Cục Hàng không Việt Nam; Các cơ quan khác có liên quan;</w:t>
      </w:r>
    </w:p>
    <w:p w14:paraId="4430ACFB" w14:textId="77777777" w:rsidR="00B41474" w:rsidRPr="00310B3F" w:rsidRDefault="00B41474" w:rsidP="00B41474">
      <w:pPr>
        <w:spacing w:line="288" w:lineRule="auto"/>
        <w:ind w:firstLine="720"/>
        <w:jc w:val="both"/>
        <w:rPr>
          <w:sz w:val="28"/>
          <w:szCs w:val="28"/>
          <w:lang w:val="vi-VN"/>
        </w:rPr>
      </w:pPr>
      <w:r w:rsidRPr="00310B3F">
        <w:rPr>
          <w:sz w:val="28"/>
          <w:szCs w:val="28"/>
          <w:lang w:val="vi-VN"/>
        </w:rPr>
        <w:t>- Cơ quan giám sát thực hiện chính sách: Chính phủ, Văn phòng Chính phủ, các Bộ, ngành liên quan;</w:t>
      </w:r>
    </w:p>
    <w:p w14:paraId="1A68E709" w14:textId="77777777" w:rsidR="00B41474" w:rsidRPr="00310B3F" w:rsidRDefault="00B41474" w:rsidP="00B41474">
      <w:pPr>
        <w:spacing w:line="288" w:lineRule="auto"/>
        <w:ind w:firstLine="720"/>
        <w:jc w:val="both"/>
        <w:rPr>
          <w:sz w:val="28"/>
          <w:szCs w:val="28"/>
          <w:lang w:val="vi-VN"/>
        </w:rPr>
      </w:pPr>
    </w:p>
    <w:p w14:paraId="4574138B" w14:textId="77777777" w:rsidR="00B41474" w:rsidRPr="00310B3F" w:rsidRDefault="00B41474" w:rsidP="00B41474">
      <w:pPr>
        <w:spacing w:line="288" w:lineRule="auto"/>
        <w:ind w:firstLine="720"/>
        <w:jc w:val="both"/>
        <w:rPr>
          <w:sz w:val="28"/>
          <w:szCs w:val="28"/>
          <w:lang w:val="vi-VN"/>
        </w:rPr>
      </w:pPr>
    </w:p>
    <w:p w14:paraId="111E9C15" w14:textId="77777777" w:rsidR="00B41474" w:rsidRPr="00310B3F" w:rsidRDefault="00B41474" w:rsidP="00B41474">
      <w:pPr>
        <w:spacing w:line="288" w:lineRule="auto"/>
        <w:ind w:firstLine="720"/>
        <w:jc w:val="both"/>
        <w:rPr>
          <w:sz w:val="28"/>
          <w:szCs w:val="28"/>
          <w:lang w:val="vi-VN"/>
        </w:rPr>
      </w:pPr>
    </w:p>
    <w:p w14:paraId="5E568A46" w14:textId="77777777" w:rsidR="00B41474" w:rsidRPr="00310B3F" w:rsidRDefault="00B41474" w:rsidP="00B41474">
      <w:pPr>
        <w:spacing w:line="288" w:lineRule="auto"/>
        <w:ind w:firstLine="720"/>
        <w:jc w:val="both"/>
        <w:rPr>
          <w:sz w:val="28"/>
          <w:szCs w:val="28"/>
          <w:lang w:val="vi-VN"/>
        </w:rPr>
      </w:pPr>
    </w:p>
    <w:p w14:paraId="3903858F" w14:textId="77777777" w:rsidR="00B41474" w:rsidRPr="00310B3F" w:rsidRDefault="00B41474" w:rsidP="00B41474">
      <w:pPr>
        <w:spacing w:line="288" w:lineRule="auto"/>
        <w:ind w:firstLine="720"/>
        <w:jc w:val="both"/>
        <w:rPr>
          <w:sz w:val="28"/>
          <w:szCs w:val="28"/>
          <w:lang w:val="vi-VN"/>
        </w:rPr>
      </w:pPr>
    </w:p>
    <w:p w14:paraId="57278887" w14:textId="77777777" w:rsidR="00B41474" w:rsidRPr="00310B3F" w:rsidRDefault="00B41474" w:rsidP="00B41474">
      <w:pPr>
        <w:spacing w:line="288" w:lineRule="auto"/>
        <w:ind w:firstLine="720"/>
        <w:jc w:val="both"/>
        <w:rPr>
          <w:sz w:val="28"/>
          <w:szCs w:val="28"/>
          <w:lang w:val="vi-VN"/>
        </w:rPr>
      </w:pPr>
    </w:p>
    <w:p w14:paraId="49E50CC4" w14:textId="77777777" w:rsidR="00275369" w:rsidRPr="00310B3F" w:rsidRDefault="00275369" w:rsidP="00B41474">
      <w:pPr>
        <w:spacing w:line="288" w:lineRule="auto"/>
        <w:ind w:firstLine="720"/>
        <w:jc w:val="both"/>
        <w:rPr>
          <w:sz w:val="28"/>
          <w:szCs w:val="28"/>
          <w:lang w:val="vi-VN"/>
        </w:rPr>
      </w:pPr>
      <w:bookmarkStart w:id="0" w:name="_GoBack"/>
      <w:bookmarkEnd w:id="0"/>
    </w:p>
    <w:p w14:paraId="523145C9" w14:textId="77777777" w:rsidR="00275369" w:rsidRPr="00310B3F" w:rsidRDefault="00275369" w:rsidP="00B41474">
      <w:pPr>
        <w:spacing w:line="288" w:lineRule="auto"/>
        <w:ind w:firstLine="720"/>
        <w:jc w:val="both"/>
        <w:rPr>
          <w:sz w:val="28"/>
          <w:szCs w:val="28"/>
          <w:lang w:val="vi-VN"/>
        </w:rPr>
      </w:pPr>
    </w:p>
    <w:p w14:paraId="3FFA7A6B" w14:textId="77777777" w:rsidR="00275369" w:rsidRPr="00310B3F" w:rsidRDefault="00275369" w:rsidP="00B41474">
      <w:pPr>
        <w:spacing w:line="288" w:lineRule="auto"/>
        <w:ind w:firstLine="720"/>
        <w:jc w:val="both"/>
        <w:rPr>
          <w:sz w:val="28"/>
          <w:szCs w:val="28"/>
          <w:lang w:val="vi-VN"/>
        </w:rPr>
      </w:pPr>
    </w:p>
    <w:p w14:paraId="6D412C87" w14:textId="77777777" w:rsidR="00275369" w:rsidRPr="00310B3F" w:rsidRDefault="00275369" w:rsidP="00B41474">
      <w:pPr>
        <w:spacing w:line="288" w:lineRule="auto"/>
        <w:ind w:firstLine="720"/>
        <w:jc w:val="both"/>
        <w:rPr>
          <w:sz w:val="28"/>
          <w:szCs w:val="28"/>
          <w:lang w:val="vi-VN"/>
        </w:rPr>
      </w:pPr>
    </w:p>
    <w:sectPr w:rsidR="00275369" w:rsidRPr="00310B3F" w:rsidSect="00C3409C">
      <w:headerReference w:type="default" r:id="rId6"/>
      <w:footerReference w:type="default" r:id="rId7"/>
      <w:headerReference w:type="first" r:id="rId8"/>
      <w:pgSz w:w="11906" w:h="16838" w:code="9"/>
      <w:pgMar w:top="1021" w:right="1134"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CAADE" w14:textId="77777777" w:rsidR="00417CDF" w:rsidRDefault="00417CDF">
      <w:r>
        <w:separator/>
      </w:r>
    </w:p>
  </w:endnote>
  <w:endnote w:type="continuationSeparator" w:id="0">
    <w:p w14:paraId="148F281D" w14:textId="77777777" w:rsidR="00417CDF" w:rsidRDefault="00417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CDC49" w14:textId="77777777" w:rsidR="001670D1" w:rsidRDefault="001670D1">
    <w:pPr>
      <w:pStyle w:val="Footer"/>
      <w:jc w:val="right"/>
    </w:pPr>
  </w:p>
  <w:p w14:paraId="15DBA1C2" w14:textId="77777777" w:rsidR="001670D1" w:rsidRDefault="001670D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9F68A" w14:textId="77777777" w:rsidR="00417CDF" w:rsidRDefault="00417CDF">
      <w:r>
        <w:separator/>
      </w:r>
    </w:p>
  </w:footnote>
  <w:footnote w:type="continuationSeparator" w:id="0">
    <w:p w14:paraId="75EE8D2D" w14:textId="77777777" w:rsidR="00417CDF" w:rsidRDefault="00417CD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7EDBD" w14:textId="481290E9" w:rsidR="001670D1" w:rsidRDefault="001670D1">
    <w:pPr>
      <w:pStyle w:val="Header"/>
      <w:jc w:val="center"/>
    </w:pPr>
  </w:p>
  <w:p w14:paraId="7E581445" w14:textId="77777777" w:rsidR="001670D1" w:rsidRDefault="001670D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4557706"/>
      <w:docPartObj>
        <w:docPartGallery w:val="Page Numbers (Top of Page)"/>
        <w:docPartUnique/>
      </w:docPartObj>
    </w:sdtPr>
    <w:sdtEndPr>
      <w:rPr>
        <w:noProof/>
      </w:rPr>
    </w:sdtEndPr>
    <w:sdtContent>
      <w:p w14:paraId="19F8E72E" w14:textId="77777777" w:rsidR="001670D1" w:rsidRDefault="00417CDF">
        <w:pPr>
          <w:pStyle w:val="Header"/>
          <w:jc w:val="center"/>
        </w:pPr>
      </w:p>
    </w:sdtContent>
  </w:sdt>
  <w:p w14:paraId="7CC983A2" w14:textId="77777777" w:rsidR="001670D1" w:rsidRDefault="001670D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635"/>
    <w:rsid w:val="0001572B"/>
    <w:rsid w:val="000167F3"/>
    <w:rsid w:val="0003024D"/>
    <w:rsid w:val="00033CD7"/>
    <w:rsid w:val="00042CA8"/>
    <w:rsid w:val="00044F51"/>
    <w:rsid w:val="000475F5"/>
    <w:rsid w:val="00047C09"/>
    <w:rsid w:val="0005121F"/>
    <w:rsid w:val="0005508B"/>
    <w:rsid w:val="000604AB"/>
    <w:rsid w:val="0007067D"/>
    <w:rsid w:val="0007402E"/>
    <w:rsid w:val="00083AA2"/>
    <w:rsid w:val="00087333"/>
    <w:rsid w:val="00094A8B"/>
    <w:rsid w:val="000B66A0"/>
    <w:rsid w:val="000C42F9"/>
    <w:rsid w:val="000C6BD5"/>
    <w:rsid w:val="000D36FE"/>
    <w:rsid w:val="000D3E66"/>
    <w:rsid w:val="000D6813"/>
    <w:rsid w:val="000E1509"/>
    <w:rsid w:val="000E2D3A"/>
    <w:rsid w:val="000E6C7B"/>
    <w:rsid w:val="000F795C"/>
    <w:rsid w:val="0010229A"/>
    <w:rsid w:val="00122080"/>
    <w:rsid w:val="001343AF"/>
    <w:rsid w:val="00140666"/>
    <w:rsid w:val="001412B2"/>
    <w:rsid w:val="001670D1"/>
    <w:rsid w:val="00177B46"/>
    <w:rsid w:val="00181BF7"/>
    <w:rsid w:val="001920E2"/>
    <w:rsid w:val="001A3390"/>
    <w:rsid w:val="001A6373"/>
    <w:rsid w:val="001C694D"/>
    <w:rsid w:val="001D217F"/>
    <w:rsid w:val="001D4848"/>
    <w:rsid w:val="001F6CF7"/>
    <w:rsid w:val="00201A54"/>
    <w:rsid w:val="002041DC"/>
    <w:rsid w:val="00214A0B"/>
    <w:rsid w:val="00220CD9"/>
    <w:rsid w:val="00222AE5"/>
    <w:rsid w:val="0025796D"/>
    <w:rsid w:val="00263EF2"/>
    <w:rsid w:val="002642FF"/>
    <w:rsid w:val="00271432"/>
    <w:rsid w:val="00271C79"/>
    <w:rsid w:val="00275369"/>
    <w:rsid w:val="00296740"/>
    <w:rsid w:val="00297262"/>
    <w:rsid w:val="002A5BA7"/>
    <w:rsid w:val="002B3926"/>
    <w:rsid w:val="002B5CE5"/>
    <w:rsid w:val="002D1481"/>
    <w:rsid w:val="002D63BF"/>
    <w:rsid w:val="002E0C6B"/>
    <w:rsid w:val="002E1A43"/>
    <w:rsid w:val="002E1D4B"/>
    <w:rsid w:val="002E7157"/>
    <w:rsid w:val="0030140B"/>
    <w:rsid w:val="0030646C"/>
    <w:rsid w:val="00310B3F"/>
    <w:rsid w:val="003210D6"/>
    <w:rsid w:val="00332014"/>
    <w:rsid w:val="0034771C"/>
    <w:rsid w:val="00347AF3"/>
    <w:rsid w:val="00350987"/>
    <w:rsid w:val="0037139A"/>
    <w:rsid w:val="00371A02"/>
    <w:rsid w:val="003B319A"/>
    <w:rsid w:val="003B526C"/>
    <w:rsid w:val="003B5928"/>
    <w:rsid w:val="003B7F5B"/>
    <w:rsid w:val="003C15A2"/>
    <w:rsid w:val="003C1FA4"/>
    <w:rsid w:val="003C7FD1"/>
    <w:rsid w:val="003E6333"/>
    <w:rsid w:val="00401889"/>
    <w:rsid w:val="00410B3E"/>
    <w:rsid w:val="00412937"/>
    <w:rsid w:val="00417CDF"/>
    <w:rsid w:val="0042418A"/>
    <w:rsid w:val="00425F98"/>
    <w:rsid w:val="00431BED"/>
    <w:rsid w:val="00434920"/>
    <w:rsid w:val="00436338"/>
    <w:rsid w:val="00443E36"/>
    <w:rsid w:val="00451228"/>
    <w:rsid w:val="0046433B"/>
    <w:rsid w:val="00466ED0"/>
    <w:rsid w:val="004677AE"/>
    <w:rsid w:val="00467BF2"/>
    <w:rsid w:val="00477ACA"/>
    <w:rsid w:val="00481AAF"/>
    <w:rsid w:val="00491332"/>
    <w:rsid w:val="0049313D"/>
    <w:rsid w:val="004A6CF5"/>
    <w:rsid w:val="004B4873"/>
    <w:rsid w:val="004B4ACD"/>
    <w:rsid w:val="004B72E7"/>
    <w:rsid w:val="004B78D1"/>
    <w:rsid w:val="004C239C"/>
    <w:rsid w:val="004C2574"/>
    <w:rsid w:val="004D4B99"/>
    <w:rsid w:val="004D68E9"/>
    <w:rsid w:val="004E0D00"/>
    <w:rsid w:val="004E4688"/>
    <w:rsid w:val="005011FA"/>
    <w:rsid w:val="005105B6"/>
    <w:rsid w:val="005142D9"/>
    <w:rsid w:val="00521BCD"/>
    <w:rsid w:val="00526954"/>
    <w:rsid w:val="0052697C"/>
    <w:rsid w:val="00534116"/>
    <w:rsid w:val="00537781"/>
    <w:rsid w:val="00540382"/>
    <w:rsid w:val="00553304"/>
    <w:rsid w:val="00562AA8"/>
    <w:rsid w:val="00571448"/>
    <w:rsid w:val="00593F25"/>
    <w:rsid w:val="0059637D"/>
    <w:rsid w:val="005A1349"/>
    <w:rsid w:val="005C4DBE"/>
    <w:rsid w:val="005C5561"/>
    <w:rsid w:val="005D02DF"/>
    <w:rsid w:val="005D09E9"/>
    <w:rsid w:val="005E5AAD"/>
    <w:rsid w:val="00600FD9"/>
    <w:rsid w:val="00622404"/>
    <w:rsid w:val="00622CFC"/>
    <w:rsid w:val="0062526E"/>
    <w:rsid w:val="00631302"/>
    <w:rsid w:val="00633B04"/>
    <w:rsid w:val="00634E9C"/>
    <w:rsid w:val="00640695"/>
    <w:rsid w:val="00641730"/>
    <w:rsid w:val="0064532A"/>
    <w:rsid w:val="00652818"/>
    <w:rsid w:val="0065501D"/>
    <w:rsid w:val="00655AF3"/>
    <w:rsid w:val="006636A9"/>
    <w:rsid w:val="00666C7E"/>
    <w:rsid w:val="00677B13"/>
    <w:rsid w:val="00693A4B"/>
    <w:rsid w:val="00696DCC"/>
    <w:rsid w:val="006A2891"/>
    <w:rsid w:val="006B7563"/>
    <w:rsid w:val="006C5551"/>
    <w:rsid w:val="006C6139"/>
    <w:rsid w:val="006D62D2"/>
    <w:rsid w:val="006D636C"/>
    <w:rsid w:val="006D70C3"/>
    <w:rsid w:val="006F2B70"/>
    <w:rsid w:val="00703726"/>
    <w:rsid w:val="00711670"/>
    <w:rsid w:val="007217FB"/>
    <w:rsid w:val="00722A06"/>
    <w:rsid w:val="007278B3"/>
    <w:rsid w:val="00731852"/>
    <w:rsid w:val="00755D9C"/>
    <w:rsid w:val="00757B8D"/>
    <w:rsid w:val="00770A50"/>
    <w:rsid w:val="00770F6E"/>
    <w:rsid w:val="00780594"/>
    <w:rsid w:val="00784D66"/>
    <w:rsid w:val="0078704C"/>
    <w:rsid w:val="007A3B08"/>
    <w:rsid w:val="007B6861"/>
    <w:rsid w:val="007C1510"/>
    <w:rsid w:val="007C1BF6"/>
    <w:rsid w:val="007D0BBE"/>
    <w:rsid w:val="007D6BA7"/>
    <w:rsid w:val="007E1BC8"/>
    <w:rsid w:val="007E309E"/>
    <w:rsid w:val="007E549B"/>
    <w:rsid w:val="007F02B6"/>
    <w:rsid w:val="007F0452"/>
    <w:rsid w:val="00801FA6"/>
    <w:rsid w:val="008028E9"/>
    <w:rsid w:val="00831C31"/>
    <w:rsid w:val="00833AC0"/>
    <w:rsid w:val="008356EA"/>
    <w:rsid w:val="008372F3"/>
    <w:rsid w:val="0085055D"/>
    <w:rsid w:val="00855228"/>
    <w:rsid w:val="0087130F"/>
    <w:rsid w:val="008751B8"/>
    <w:rsid w:val="008754AD"/>
    <w:rsid w:val="008A07D9"/>
    <w:rsid w:val="008A7B1D"/>
    <w:rsid w:val="008A7C45"/>
    <w:rsid w:val="008C0AC9"/>
    <w:rsid w:val="008C3417"/>
    <w:rsid w:val="008C6288"/>
    <w:rsid w:val="008D688D"/>
    <w:rsid w:val="008E1864"/>
    <w:rsid w:val="008E657F"/>
    <w:rsid w:val="008F7AC7"/>
    <w:rsid w:val="00903FA0"/>
    <w:rsid w:val="00906EB6"/>
    <w:rsid w:val="00911C53"/>
    <w:rsid w:val="009219BF"/>
    <w:rsid w:val="00921D7E"/>
    <w:rsid w:val="00923A44"/>
    <w:rsid w:val="0093355C"/>
    <w:rsid w:val="0093532A"/>
    <w:rsid w:val="00937389"/>
    <w:rsid w:val="00945061"/>
    <w:rsid w:val="0095414C"/>
    <w:rsid w:val="009548D6"/>
    <w:rsid w:val="009626B4"/>
    <w:rsid w:val="00972214"/>
    <w:rsid w:val="00984DB7"/>
    <w:rsid w:val="009A5685"/>
    <w:rsid w:val="009B4AAE"/>
    <w:rsid w:val="009C0704"/>
    <w:rsid w:val="009C37D0"/>
    <w:rsid w:val="009D28D9"/>
    <w:rsid w:val="009D6635"/>
    <w:rsid w:val="009F329C"/>
    <w:rsid w:val="00A00A5F"/>
    <w:rsid w:val="00A0112C"/>
    <w:rsid w:val="00A06AED"/>
    <w:rsid w:val="00A1446A"/>
    <w:rsid w:val="00A15C01"/>
    <w:rsid w:val="00A25B54"/>
    <w:rsid w:val="00A312FA"/>
    <w:rsid w:val="00A338D7"/>
    <w:rsid w:val="00A46ABC"/>
    <w:rsid w:val="00A50101"/>
    <w:rsid w:val="00A654C7"/>
    <w:rsid w:val="00A77AB3"/>
    <w:rsid w:val="00A77E13"/>
    <w:rsid w:val="00A83821"/>
    <w:rsid w:val="00A94435"/>
    <w:rsid w:val="00AA0516"/>
    <w:rsid w:val="00AA3372"/>
    <w:rsid w:val="00AA374D"/>
    <w:rsid w:val="00AB0651"/>
    <w:rsid w:val="00AC4BAB"/>
    <w:rsid w:val="00AC65CF"/>
    <w:rsid w:val="00AC6D36"/>
    <w:rsid w:val="00B20510"/>
    <w:rsid w:val="00B26524"/>
    <w:rsid w:val="00B41474"/>
    <w:rsid w:val="00B4657C"/>
    <w:rsid w:val="00B53E73"/>
    <w:rsid w:val="00B72504"/>
    <w:rsid w:val="00B9141E"/>
    <w:rsid w:val="00B925D7"/>
    <w:rsid w:val="00B95375"/>
    <w:rsid w:val="00BA2B7A"/>
    <w:rsid w:val="00BA61A6"/>
    <w:rsid w:val="00BA7A5A"/>
    <w:rsid w:val="00BB2D84"/>
    <w:rsid w:val="00BC0D71"/>
    <w:rsid w:val="00BC1042"/>
    <w:rsid w:val="00BC3B63"/>
    <w:rsid w:val="00BC7DA9"/>
    <w:rsid w:val="00BE4032"/>
    <w:rsid w:val="00BE786B"/>
    <w:rsid w:val="00C03EAA"/>
    <w:rsid w:val="00C11B78"/>
    <w:rsid w:val="00C146EA"/>
    <w:rsid w:val="00C31EF9"/>
    <w:rsid w:val="00C32FBA"/>
    <w:rsid w:val="00C464CA"/>
    <w:rsid w:val="00C56E3C"/>
    <w:rsid w:val="00C63DE9"/>
    <w:rsid w:val="00C65699"/>
    <w:rsid w:val="00C7219C"/>
    <w:rsid w:val="00C754BF"/>
    <w:rsid w:val="00C8050C"/>
    <w:rsid w:val="00C97572"/>
    <w:rsid w:val="00CA121D"/>
    <w:rsid w:val="00CA3F8C"/>
    <w:rsid w:val="00CB2771"/>
    <w:rsid w:val="00CB3659"/>
    <w:rsid w:val="00CB6B33"/>
    <w:rsid w:val="00D03D12"/>
    <w:rsid w:val="00D21DD0"/>
    <w:rsid w:val="00D30889"/>
    <w:rsid w:val="00D33EBD"/>
    <w:rsid w:val="00D341A1"/>
    <w:rsid w:val="00D412F1"/>
    <w:rsid w:val="00D54441"/>
    <w:rsid w:val="00D652EA"/>
    <w:rsid w:val="00D70BBD"/>
    <w:rsid w:val="00D817DD"/>
    <w:rsid w:val="00D81985"/>
    <w:rsid w:val="00D9050B"/>
    <w:rsid w:val="00D91E7C"/>
    <w:rsid w:val="00D952DE"/>
    <w:rsid w:val="00D95B98"/>
    <w:rsid w:val="00DA098C"/>
    <w:rsid w:val="00DA2F50"/>
    <w:rsid w:val="00DB138E"/>
    <w:rsid w:val="00DB6FFB"/>
    <w:rsid w:val="00DC0541"/>
    <w:rsid w:val="00DD2793"/>
    <w:rsid w:val="00DE2AA6"/>
    <w:rsid w:val="00DE66EB"/>
    <w:rsid w:val="00DF6766"/>
    <w:rsid w:val="00E04445"/>
    <w:rsid w:val="00E1567D"/>
    <w:rsid w:val="00E306C9"/>
    <w:rsid w:val="00E30761"/>
    <w:rsid w:val="00E37670"/>
    <w:rsid w:val="00E402B3"/>
    <w:rsid w:val="00E81529"/>
    <w:rsid w:val="00EA2473"/>
    <w:rsid w:val="00EB02E3"/>
    <w:rsid w:val="00ED21FD"/>
    <w:rsid w:val="00F01B56"/>
    <w:rsid w:val="00F11B0E"/>
    <w:rsid w:val="00F134BC"/>
    <w:rsid w:val="00F22335"/>
    <w:rsid w:val="00F27A2D"/>
    <w:rsid w:val="00F4181B"/>
    <w:rsid w:val="00F524A7"/>
    <w:rsid w:val="00F5495F"/>
    <w:rsid w:val="00F6306A"/>
    <w:rsid w:val="00F73B08"/>
    <w:rsid w:val="00F845D0"/>
    <w:rsid w:val="00F90C46"/>
    <w:rsid w:val="00F9449E"/>
    <w:rsid w:val="00FA3686"/>
    <w:rsid w:val="00FA48C7"/>
    <w:rsid w:val="00FA7E8D"/>
    <w:rsid w:val="00FB4DD9"/>
    <w:rsid w:val="00FC6F86"/>
    <w:rsid w:val="00FE4288"/>
    <w:rsid w:val="00FE6B98"/>
    <w:rsid w:val="00FF0983"/>
    <w:rsid w:val="00FF40A6"/>
    <w:rsid w:val="00FF46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5C540"/>
  <w15:chartTrackingRefBased/>
  <w15:docId w15:val="{FEDE534D-8D7C-4F9F-ADF4-9AD9A0FF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6635"/>
    <w:pPr>
      <w:spacing w:after="0" w:line="240" w:lineRule="auto"/>
    </w:pPr>
    <w:rPr>
      <w:rFonts w:ascii="Times New Roman" w:eastAsia="Calibri"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6635"/>
    <w:pPr>
      <w:tabs>
        <w:tab w:val="center" w:pos="4513"/>
        <w:tab w:val="right" w:pos="9026"/>
      </w:tabs>
    </w:pPr>
  </w:style>
  <w:style w:type="character" w:customStyle="1" w:styleId="HeaderChar">
    <w:name w:val="Header Char"/>
    <w:basedOn w:val="DefaultParagraphFont"/>
    <w:link w:val="Header"/>
    <w:uiPriority w:val="99"/>
    <w:rsid w:val="009D6635"/>
    <w:rPr>
      <w:rFonts w:ascii="Times New Roman" w:eastAsia="Calibri" w:hAnsi="Times New Roman" w:cs="Times New Roman"/>
      <w:sz w:val="24"/>
      <w:szCs w:val="24"/>
    </w:rPr>
  </w:style>
  <w:style w:type="paragraph" w:styleId="Footer">
    <w:name w:val="footer"/>
    <w:basedOn w:val="Normal"/>
    <w:link w:val="FooterChar"/>
    <w:uiPriority w:val="99"/>
    <w:unhideWhenUsed/>
    <w:rsid w:val="009D6635"/>
    <w:pPr>
      <w:tabs>
        <w:tab w:val="center" w:pos="4513"/>
        <w:tab w:val="right" w:pos="9026"/>
      </w:tabs>
    </w:pPr>
  </w:style>
  <w:style w:type="character" w:customStyle="1" w:styleId="FooterChar">
    <w:name w:val="Footer Char"/>
    <w:basedOn w:val="DefaultParagraphFont"/>
    <w:link w:val="Footer"/>
    <w:uiPriority w:val="99"/>
    <w:rsid w:val="009D6635"/>
    <w:rPr>
      <w:rFonts w:ascii="Times New Roman" w:eastAsia="Calibri" w:hAnsi="Times New Roman" w:cs="Times New Roman"/>
      <w:sz w:val="24"/>
      <w:szCs w:val="24"/>
    </w:rPr>
  </w:style>
  <w:style w:type="paragraph" w:styleId="ListParagraph">
    <w:name w:val="List Paragraph"/>
    <w:basedOn w:val="Normal"/>
    <w:uiPriority w:val="34"/>
    <w:qFormat/>
    <w:rsid w:val="00477ACA"/>
    <w:pPr>
      <w:ind w:left="720"/>
      <w:contextualSpacing/>
    </w:pPr>
  </w:style>
  <w:style w:type="paragraph" w:styleId="BodyText2">
    <w:name w:val="Body Text 2"/>
    <w:basedOn w:val="Normal"/>
    <w:link w:val="BodyText2Char"/>
    <w:uiPriority w:val="99"/>
    <w:unhideWhenUsed/>
    <w:rsid w:val="009A5685"/>
    <w:pPr>
      <w:widowControl w:val="0"/>
      <w:autoSpaceDE w:val="0"/>
      <w:autoSpaceDN w:val="0"/>
      <w:spacing w:after="120" w:line="480" w:lineRule="auto"/>
    </w:pPr>
    <w:rPr>
      <w:rFonts w:eastAsia="Times New Roman"/>
      <w:sz w:val="22"/>
      <w:szCs w:val="22"/>
    </w:rPr>
  </w:style>
  <w:style w:type="character" w:customStyle="1" w:styleId="BodyText2Char">
    <w:name w:val="Body Text 2 Char"/>
    <w:basedOn w:val="DefaultParagraphFont"/>
    <w:link w:val="BodyText2"/>
    <w:uiPriority w:val="99"/>
    <w:rsid w:val="009A5685"/>
    <w:rPr>
      <w:rFonts w:ascii="Times New Roman" w:eastAsia="Times New Roman" w:hAnsi="Times New Roman" w:cs="Times New Roman"/>
    </w:rPr>
  </w:style>
  <w:style w:type="table" w:styleId="TableGrid">
    <w:name w:val="Table Grid"/>
    <w:basedOn w:val="TableNormal"/>
    <w:uiPriority w:val="39"/>
    <w:rsid w:val="001D217F"/>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B41474"/>
    <w:pPr>
      <w:spacing w:after="120"/>
    </w:pPr>
    <w:rPr>
      <w:rFonts w:asciiTheme="minorHAnsi" w:eastAsiaTheme="minorEastAsia" w:hAnsiTheme="minorHAnsi" w:cstheme="minorBidi"/>
      <w:sz w:val="22"/>
      <w:szCs w:val="22"/>
    </w:rPr>
  </w:style>
  <w:style w:type="character" w:customStyle="1" w:styleId="BodyTextChar">
    <w:name w:val="Body Text Char"/>
    <w:basedOn w:val="DefaultParagraphFont"/>
    <w:link w:val="BodyText"/>
    <w:uiPriority w:val="99"/>
    <w:rsid w:val="00B41474"/>
    <w:rPr>
      <w:rFonts w:eastAsiaTheme="minorEastAsia"/>
    </w:rPr>
  </w:style>
  <w:style w:type="paragraph" w:styleId="NormalWeb">
    <w:name w:val="Normal (Web)"/>
    <w:basedOn w:val="Normal"/>
    <w:uiPriority w:val="99"/>
    <w:rsid w:val="00275369"/>
    <w:pPr>
      <w:spacing w:before="150" w:after="15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743201">
      <w:bodyDiv w:val="1"/>
      <w:marLeft w:val="0"/>
      <w:marRight w:val="0"/>
      <w:marTop w:val="0"/>
      <w:marBottom w:val="0"/>
      <w:divBdr>
        <w:top w:val="none" w:sz="0" w:space="0" w:color="auto"/>
        <w:left w:val="none" w:sz="0" w:space="0" w:color="auto"/>
        <w:bottom w:val="none" w:sz="0" w:space="0" w:color="auto"/>
        <w:right w:val="none" w:sz="0" w:space="0" w:color="auto"/>
      </w:divBdr>
      <w:divsChild>
        <w:div w:id="1814175596">
          <w:marLeft w:val="0"/>
          <w:marRight w:val="0"/>
          <w:marTop w:val="0"/>
          <w:marBottom w:val="0"/>
          <w:divBdr>
            <w:top w:val="none" w:sz="0" w:space="0" w:color="auto"/>
            <w:left w:val="none" w:sz="0" w:space="0" w:color="auto"/>
            <w:bottom w:val="none" w:sz="0" w:space="0" w:color="auto"/>
            <w:right w:val="none" w:sz="0" w:space="0" w:color="auto"/>
          </w:divBdr>
        </w:div>
        <w:div w:id="2123306021">
          <w:marLeft w:val="0"/>
          <w:marRight w:val="0"/>
          <w:marTop w:val="0"/>
          <w:marBottom w:val="0"/>
          <w:divBdr>
            <w:top w:val="none" w:sz="0" w:space="0" w:color="auto"/>
            <w:left w:val="none" w:sz="0" w:space="0" w:color="auto"/>
            <w:bottom w:val="none" w:sz="0" w:space="0" w:color="auto"/>
            <w:right w:val="none" w:sz="0" w:space="0" w:color="auto"/>
          </w:divBdr>
        </w:div>
        <w:div w:id="1789422628">
          <w:marLeft w:val="0"/>
          <w:marRight w:val="0"/>
          <w:marTop w:val="0"/>
          <w:marBottom w:val="0"/>
          <w:divBdr>
            <w:top w:val="none" w:sz="0" w:space="0" w:color="auto"/>
            <w:left w:val="none" w:sz="0" w:space="0" w:color="auto"/>
            <w:bottom w:val="none" w:sz="0" w:space="0" w:color="auto"/>
            <w:right w:val="none" w:sz="0" w:space="0" w:color="auto"/>
          </w:divBdr>
        </w:div>
        <w:div w:id="1387607418">
          <w:marLeft w:val="0"/>
          <w:marRight w:val="0"/>
          <w:marTop w:val="0"/>
          <w:marBottom w:val="0"/>
          <w:divBdr>
            <w:top w:val="none" w:sz="0" w:space="0" w:color="auto"/>
            <w:left w:val="none" w:sz="0" w:space="0" w:color="auto"/>
            <w:bottom w:val="none" w:sz="0" w:space="0" w:color="auto"/>
            <w:right w:val="none" w:sz="0" w:space="0" w:color="auto"/>
          </w:divBdr>
        </w:div>
        <w:div w:id="558982558">
          <w:marLeft w:val="0"/>
          <w:marRight w:val="0"/>
          <w:marTop w:val="0"/>
          <w:marBottom w:val="0"/>
          <w:divBdr>
            <w:top w:val="none" w:sz="0" w:space="0" w:color="auto"/>
            <w:left w:val="none" w:sz="0" w:space="0" w:color="auto"/>
            <w:bottom w:val="none" w:sz="0" w:space="0" w:color="auto"/>
            <w:right w:val="none" w:sz="0" w:space="0" w:color="auto"/>
          </w:divBdr>
        </w:div>
        <w:div w:id="96147768">
          <w:marLeft w:val="0"/>
          <w:marRight w:val="0"/>
          <w:marTop w:val="0"/>
          <w:marBottom w:val="0"/>
          <w:divBdr>
            <w:top w:val="none" w:sz="0" w:space="0" w:color="auto"/>
            <w:left w:val="none" w:sz="0" w:space="0" w:color="auto"/>
            <w:bottom w:val="none" w:sz="0" w:space="0" w:color="auto"/>
            <w:right w:val="none" w:sz="0" w:space="0" w:color="auto"/>
          </w:divBdr>
        </w:div>
      </w:divsChild>
    </w:div>
    <w:div w:id="1052658554">
      <w:bodyDiv w:val="1"/>
      <w:marLeft w:val="0"/>
      <w:marRight w:val="0"/>
      <w:marTop w:val="0"/>
      <w:marBottom w:val="0"/>
      <w:divBdr>
        <w:top w:val="none" w:sz="0" w:space="0" w:color="auto"/>
        <w:left w:val="none" w:sz="0" w:space="0" w:color="auto"/>
        <w:bottom w:val="none" w:sz="0" w:space="0" w:color="auto"/>
        <w:right w:val="none" w:sz="0" w:space="0" w:color="auto"/>
      </w:divBdr>
      <w:divsChild>
        <w:div w:id="1705708798">
          <w:marLeft w:val="0"/>
          <w:marRight w:val="0"/>
          <w:marTop w:val="0"/>
          <w:marBottom w:val="240"/>
          <w:divBdr>
            <w:top w:val="none" w:sz="0" w:space="0" w:color="auto"/>
            <w:left w:val="none" w:sz="0" w:space="0" w:color="auto"/>
            <w:bottom w:val="none" w:sz="0" w:space="0" w:color="auto"/>
            <w:right w:val="none" w:sz="0" w:space="0" w:color="auto"/>
          </w:divBdr>
        </w:div>
        <w:div w:id="1958827706">
          <w:marLeft w:val="0"/>
          <w:marRight w:val="0"/>
          <w:marTop w:val="0"/>
          <w:marBottom w:val="240"/>
          <w:divBdr>
            <w:top w:val="none" w:sz="0" w:space="0" w:color="auto"/>
            <w:left w:val="none" w:sz="0" w:space="0" w:color="auto"/>
            <w:bottom w:val="none" w:sz="0" w:space="0" w:color="auto"/>
            <w:right w:val="none" w:sz="0" w:space="0" w:color="auto"/>
          </w:divBdr>
        </w:div>
      </w:divsChild>
    </w:div>
    <w:div w:id="1529179198">
      <w:bodyDiv w:val="1"/>
      <w:marLeft w:val="0"/>
      <w:marRight w:val="0"/>
      <w:marTop w:val="0"/>
      <w:marBottom w:val="0"/>
      <w:divBdr>
        <w:top w:val="none" w:sz="0" w:space="0" w:color="auto"/>
        <w:left w:val="none" w:sz="0" w:space="0" w:color="auto"/>
        <w:bottom w:val="none" w:sz="0" w:space="0" w:color="auto"/>
        <w:right w:val="none" w:sz="0" w:space="0" w:color="auto"/>
      </w:divBdr>
      <w:divsChild>
        <w:div w:id="1281573604">
          <w:marLeft w:val="0"/>
          <w:marRight w:val="0"/>
          <w:marTop w:val="0"/>
          <w:marBottom w:val="240"/>
          <w:divBdr>
            <w:top w:val="none" w:sz="0" w:space="0" w:color="auto"/>
            <w:left w:val="none" w:sz="0" w:space="0" w:color="auto"/>
            <w:bottom w:val="none" w:sz="0" w:space="0" w:color="auto"/>
            <w:right w:val="none" w:sz="0" w:space="0" w:color="auto"/>
          </w:divBdr>
        </w:div>
        <w:div w:id="993990767">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2227</Words>
  <Characters>12695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2025-03-31T06:29:00Z</dcterms:created>
  <dcterms:modified xsi:type="dcterms:W3CDTF">2025-03-31T06:35:00Z</dcterms:modified>
</cp:coreProperties>
</file>